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3F" w:rsidRDefault="00DA30A0">
      <w:pPr>
        <w:rPr>
          <w:rFonts w:hint="eastAsia"/>
        </w:rPr>
      </w:pPr>
      <w:r w:rsidRPr="00023BCA">
        <w:rPr>
          <w:rFonts w:hint="eastAsia"/>
          <w:color w:val="000000"/>
        </w:rPr>
        <w:t>第八點附表二</w:t>
      </w:r>
    </w:p>
    <w:tbl>
      <w:tblPr>
        <w:tblpPr w:leftFromText="180" w:rightFromText="180" w:vertAnchor="page" w:horzAnchor="margin" w:tblpXSpec="center" w:tblpY="1620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3420"/>
        <w:gridCol w:w="1620"/>
        <w:gridCol w:w="4680"/>
      </w:tblGrid>
      <w:tr w:rsidR="00DA30A0" w:rsidRPr="008E619A" w:rsidTr="00B14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</w:tcPr>
          <w:p w:rsidR="00DA30A0" w:rsidRPr="008E619A" w:rsidRDefault="00DA30A0" w:rsidP="00B14CBD">
            <w:pPr>
              <w:spacing w:line="320" w:lineRule="exact"/>
              <w:ind w:leftChars="3" w:left="7" w:firstLineChars="96" w:firstLine="192"/>
              <w:jc w:val="center"/>
              <w:rPr>
                <w:rFonts w:eastAsia="標楷體"/>
                <w:spacing w:val="-20"/>
              </w:rPr>
            </w:pPr>
            <w:r w:rsidRPr="008E619A">
              <w:rPr>
                <w:rFonts w:eastAsia="標楷體"/>
                <w:spacing w:val="-20"/>
              </w:rPr>
              <w:t xml:space="preserve">   </w:t>
            </w:r>
            <w:r w:rsidRPr="008E619A">
              <w:rPr>
                <w:rFonts w:eastAsia="標楷體" w:hAnsi="標楷體"/>
                <w:spacing w:val="-20"/>
              </w:rPr>
              <w:t>補助</w:t>
            </w:r>
          </w:p>
          <w:p w:rsidR="00DA30A0" w:rsidRPr="008E619A" w:rsidRDefault="00DA30A0" w:rsidP="00B14CBD">
            <w:pPr>
              <w:spacing w:line="320" w:lineRule="exact"/>
              <w:ind w:leftChars="3" w:left="7" w:firstLineChars="96" w:firstLine="192"/>
              <w:jc w:val="center"/>
              <w:rPr>
                <w:rFonts w:eastAsia="標楷體"/>
                <w:spacing w:val="-20"/>
              </w:rPr>
            </w:pPr>
            <w:r w:rsidRPr="008E619A">
              <w:rPr>
                <w:rFonts w:eastAsia="標楷體"/>
                <w:spacing w:val="-20"/>
              </w:rPr>
              <w:t xml:space="preserve">   </w:t>
            </w:r>
            <w:r w:rsidRPr="008E619A">
              <w:rPr>
                <w:rFonts w:eastAsia="標楷體" w:hAnsi="標楷體"/>
                <w:spacing w:val="-20"/>
              </w:rPr>
              <w:t>內容</w:t>
            </w:r>
          </w:p>
          <w:p w:rsidR="00DA30A0" w:rsidRPr="008E619A" w:rsidRDefault="00DA30A0" w:rsidP="00B14CBD">
            <w:pPr>
              <w:spacing w:line="320" w:lineRule="exact"/>
              <w:ind w:leftChars="3" w:left="7"/>
              <w:rPr>
                <w:rFonts w:eastAsia="標楷體"/>
                <w:spacing w:val="-20"/>
              </w:rPr>
            </w:pPr>
            <w:r w:rsidRPr="008E619A">
              <w:rPr>
                <w:rFonts w:eastAsia="標楷體" w:hAnsi="標楷體"/>
                <w:spacing w:val="-20"/>
              </w:rPr>
              <w:t>類別</w:t>
            </w:r>
          </w:p>
        </w:tc>
        <w:tc>
          <w:tcPr>
            <w:tcW w:w="3420" w:type="dxa"/>
          </w:tcPr>
          <w:p w:rsidR="00DA30A0" w:rsidRPr="008E619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spacing w:val="-20"/>
              </w:rPr>
            </w:pPr>
            <w:proofErr w:type="gramStart"/>
            <w:r w:rsidRPr="008E619A">
              <w:rPr>
                <w:rFonts w:eastAsia="標楷體" w:hAnsi="標楷體"/>
                <w:spacing w:val="-20"/>
              </w:rPr>
              <w:t>人數及艙等</w:t>
            </w:r>
            <w:proofErr w:type="gramEnd"/>
          </w:p>
        </w:tc>
        <w:tc>
          <w:tcPr>
            <w:tcW w:w="1620" w:type="dxa"/>
          </w:tcPr>
          <w:p w:rsidR="00DA30A0" w:rsidRPr="008E619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spacing w:val="-20"/>
              </w:rPr>
            </w:pPr>
            <w:r w:rsidRPr="008E619A">
              <w:rPr>
                <w:rFonts w:eastAsia="標楷體" w:hAnsi="標楷體"/>
                <w:spacing w:val="-20"/>
              </w:rPr>
              <w:t>機票</w:t>
            </w:r>
          </w:p>
          <w:p w:rsidR="00DA30A0" w:rsidRPr="008E619A" w:rsidRDefault="00DA30A0" w:rsidP="00B14CBD">
            <w:pPr>
              <w:spacing w:line="320" w:lineRule="exact"/>
              <w:ind w:left="8"/>
              <w:jc w:val="center"/>
              <w:rPr>
                <w:rFonts w:eastAsia="標楷體" w:hint="eastAsia"/>
                <w:spacing w:val="-20"/>
              </w:rPr>
            </w:pPr>
            <w:r w:rsidRPr="008E619A">
              <w:rPr>
                <w:rFonts w:eastAsia="標楷體" w:hAnsi="標楷體"/>
                <w:spacing w:val="-20"/>
              </w:rPr>
              <w:t>費用</w:t>
            </w:r>
          </w:p>
        </w:tc>
        <w:tc>
          <w:tcPr>
            <w:tcW w:w="4680" w:type="dxa"/>
          </w:tcPr>
          <w:p w:rsidR="00DA30A0" w:rsidRPr="008E619A" w:rsidRDefault="00DA30A0" w:rsidP="00B14CBD">
            <w:pPr>
              <w:spacing w:line="320" w:lineRule="exact"/>
              <w:rPr>
                <w:rFonts w:eastAsia="標楷體"/>
                <w:color w:val="000000"/>
                <w:spacing w:val="-20"/>
              </w:rPr>
            </w:pPr>
            <w:r w:rsidRPr="008E619A">
              <w:rPr>
                <w:rFonts w:eastAsia="標楷體" w:hAnsi="標楷體"/>
                <w:color w:val="000000"/>
                <w:spacing w:val="-20"/>
              </w:rPr>
              <w:t>食宿費用</w:t>
            </w:r>
          </w:p>
        </w:tc>
      </w:tr>
      <w:tr w:rsidR="00DA30A0" w:rsidRPr="00023BCA" w:rsidTr="00B14CBD">
        <w:tblPrEx>
          <w:tblCellMar>
            <w:top w:w="0" w:type="dxa"/>
            <w:bottom w:w="0" w:type="dxa"/>
          </w:tblCellMar>
        </w:tblPrEx>
        <w:trPr>
          <w:cantSplit/>
          <w:trHeight w:val="2248"/>
        </w:trPr>
        <w:tc>
          <w:tcPr>
            <w:tcW w:w="1108" w:type="dxa"/>
          </w:tcPr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第一類國</w:t>
            </w:r>
          </w:p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際影展</w:t>
            </w:r>
          </w:p>
        </w:tc>
        <w:tc>
          <w:tcPr>
            <w:tcW w:w="3420" w:type="dxa"/>
          </w:tcPr>
          <w:p w:rsidR="00DA30A0" w:rsidRPr="00023BCA" w:rsidRDefault="00DA30A0" w:rsidP="00DA30A0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商務艙四人。但入圍之國產電影片長度未逾六十分鐘者，其補助人數減半。</w:t>
            </w:r>
          </w:p>
          <w:p w:rsidR="00DA30A0" w:rsidRPr="00023BCA" w:rsidRDefault="00DA30A0" w:rsidP="00DA30A0">
            <w:pPr>
              <w:numPr>
                <w:ilvl w:val="0"/>
                <w:numId w:val="1"/>
              </w:numPr>
              <w:spacing w:line="320" w:lineRule="exact"/>
              <w:rPr>
                <w:rFonts w:eastAsia="標楷體" w:hint="eastAsia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改搭經濟艙者，以八人為限。但入圍之國產電影片長度未逾六十分鐘者，其補助人數減半。</w:t>
            </w:r>
          </w:p>
        </w:tc>
        <w:tc>
          <w:tcPr>
            <w:tcW w:w="1620" w:type="dxa"/>
          </w:tcPr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見備註四</w:t>
            </w:r>
          </w:p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680" w:type="dxa"/>
          </w:tcPr>
          <w:p w:rsidR="00DA30A0" w:rsidRPr="00023BCA" w:rsidRDefault="00DA30A0" w:rsidP="00B14CBD">
            <w:pPr>
              <w:spacing w:line="320" w:lineRule="exact"/>
              <w:ind w:left="8"/>
              <w:rPr>
                <w:rFonts w:eastAsia="標楷體" w:hint="eastAsia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補助費用比照中央機關公務員「國外出差旅費報支要點」及「中央政府各機關派赴國外各地區出差人員</w:t>
            </w:r>
            <w:proofErr w:type="gramStart"/>
            <w:r w:rsidRPr="00023BCA">
              <w:rPr>
                <w:rFonts w:eastAsia="標楷體" w:hAnsi="標楷體"/>
                <w:color w:val="000000"/>
                <w:spacing w:val="-20"/>
              </w:rPr>
              <w:t>生活費日支數額</w:t>
            </w:r>
            <w:proofErr w:type="gramEnd"/>
            <w:r w:rsidRPr="00023BCA">
              <w:rPr>
                <w:rFonts w:eastAsia="標楷體" w:hAnsi="標楷體"/>
                <w:color w:val="000000"/>
                <w:spacing w:val="-20"/>
              </w:rPr>
              <w:t>表」規定核計</w:t>
            </w:r>
            <w:r w:rsidRPr="00023BCA">
              <w:rPr>
                <w:rFonts w:eastAsia="標楷體" w:hAnsi="標楷體" w:hint="eastAsia"/>
                <w:color w:val="000000"/>
                <w:spacing w:val="-20"/>
              </w:rPr>
              <w:t>（新臺幣美元匯率應以出發前一天台灣銀行公告之即期賣出匯率算之）</w:t>
            </w:r>
            <w:r w:rsidRPr="00023BCA">
              <w:rPr>
                <w:rFonts w:eastAsia="標楷體" w:hAnsi="標楷體"/>
                <w:color w:val="000000"/>
                <w:spacing w:val="-20"/>
              </w:rPr>
              <w:t>，補助日數不得逾六日。</w:t>
            </w:r>
          </w:p>
        </w:tc>
      </w:tr>
      <w:tr w:rsidR="00DA30A0" w:rsidRPr="00023BCA" w:rsidTr="00B14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</w:tcPr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第二類國</w:t>
            </w:r>
          </w:p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際影展</w:t>
            </w:r>
          </w:p>
        </w:tc>
        <w:tc>
          <w:tcPr>
            <w:tcW w:w="3420" w:type="dxa"/>
          </w:tcPr>
          <w:p w:rsidR="00DA30A0" w:rsidRPr="00023BCA" w:rsidRDefault="00DA30A0" w:rsidP="00B14CBD">
            <w:pPr>
              <w:spacing w:line="320" w:lineRule="exact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經濟艙二人。但入圍之國產電影片長度未逾六十分鐘者，其補助人數減半。</w:t>
            </w:r>
          </w:p>
        </w:tc>
        <w:tc>
          <w:tcPr>
            <w:tcW w:w="1620" w:type="dxa"/>
          </w:tcPr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見備註四</w:t>
            </w:r>
          </w:p>
        </w:tc>
        <w:tc>
          <w:tcPr>
            <w:tcW w:w="4680" w:type="dxa"/>
          </w:tcPr>
          <w:p w:rsidR="00DA30A0" w:rsidRPr="00023BCA" w:rsidRDefault="00DA30A0" w:rsidP="00B14CBD">
            <w:pPr>
              <w:spacing w:line="320" w:lineRule="exact"/>
              <w:ind w:left="8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補助費用比照中央機關公務員「國外出差旅費報支要點」及「中央政府各機關派赴國外各地區出差人員</w:t>
            </w:r>
            <w:proofErr w:type="gramStart"/>
            <w:r w:rsidRPr="00023BCA">
              <w:rPr>
                <w:rFonts w:eastAsia="標楷體" w:hAnsi="標楷體"/>
                <w:color w:val="000000"/>
                <w:spacing w:val="-20"/>
              </w:rPr>
              <w:t>生活費日支數額</w:t>
            </w:r>
            <w:proofErr w:type="gramEnd"/>
            <w:r w:rsidRPr="00023BCA">
              <w:rPr>
                <w:rFonts w:eastAsia="標楷體" w:hAnsi="標楷體"/>
                <w:color w:val="000000"/>
                <w:spacing w:val="-20"/>
              </w:rPr>
              <w:t>表」規定核計</w:t>
            </w:r>
            <w:r w:rsidRPr="00023BCA">
              <w:rPr>
                <w:rFonts w:eastAsia="標楷體" w:hAnsi="標楷體" w:hint="eastAsia"/>
                <w:color w:val="000000"/>
                <w:spacing w:val="-20"/>
              </w:rPr>
              <w:t>（新臺幣美元匯率應以出發前一天台灣銀行公告之即期賣出匯率算之）</w:t>
            </w:r>
            <w:r w:rsidRPr="00023BCA">
              <w:rPr>
                <w:rFonts w:eastAsia="標楷體" w:hAnsi="標楷體"/>
                <w:color w:val="000000"/>
                <w:spacing w:val="-20"/>
              </w:rPr>
              <w:t>，補助日數亞洲地區不得逾五日，其他地區不得逾六日。</w:t>
            </w:r>
          </w:p>
          <w:p w:rsidR="00DA30A0" w:rsidRPr="00023BCA" w:rsidRDefault="00DA30A0" w:rsidP="00B14CBD">
            <w:pPr>
              <w:spacing w:line="320" w:lineRule="exact"/>
              <w:ind w:left="8"/>
              <w:rPr>
                <w:rFonts w:eastAsia="標楷體"/>
                <w:color w:val="000000"/>
                <w:spacing w:val="-20"/>
              </w:rPr>
            </w:pPr>
          </w:p>
        </w:tc>
      </w:tr>
      <w:tr w:rsidR="00DA30A0" w:rsidRPr="00023BCA" w:rsidTr="00B14CBD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108" w:type="dxa"/>
          </w:tcPr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第三、四類</w:t>
            </w:r>
          </w:p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國際影展</w:t>
            </w:r>
          </w:p>
        </w:tc>
        <w:tc>
          <w:tcPr>
            <w:tcW w:w="3420" w:type="dxa"/>
          </w:tcPr>
          <w:p w:rsidR="00DA30A0" w:rsidRPr="00023BCA" w:rsidRDefault="00DA30A0" w:rsidP="00B14CBD">
            <w:pPr>
              <w:spacing w:line="320" w:lineRule="exact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經濟艙一人</w:t>
            </w:r>
          </w:p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</w:p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</w:p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</w:p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</w:tcPr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見備註四</w:t>
            </w:r>
          </w:p>
        </w:tc>
        <w:tc>
          <w:tcPr>
            <w:tcW w:w="4680" w:type="dxa"/>
          </w:tcPr>
          <w:p w:rsidR="00DA30A0" w:rsidRPr="00023BCA" w:rsidRDefault="00DA30A0" w:rsidP="00B14CBD">
            <w:pPr>
              <w:spacing w:line="320" w:lineRule="exact"/>
              <w:ind w:left="8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補助費用比照中央機關公務員「國外出差旅費報支要點」及「中央政府各機關派赴國外各地區出差人員</w:t>
            </w:r>
            <w:proofErr w:type="gramStart"/>
            <w:r w:rsidRPr="00023BCA">
              <w:rPr>
                <w:rFonts w:eastAsia="標楷體" w:hAnsi="標楷體"/>
                <w:color w:val="000000"/>
                <w:spacing w:val="-20"/>
              </w:rPr>
              <w:t>生活費日支數額</w:t>
            </w:r>
            <w:proofErr w:type="gramEnd"/>
            <w:r w:rsidRPr="00023BCA">
              <w:rPr>
                <w:rFonts w:eastAsia="標楷體" w:hAnsi="標楷體"/>
                <w:color w:val="000000"/>
                <w:spacing w:val="-20"/>
              </w:rPr>
              <w:t>表」規定核計</w:t>
            </w:r>
            <w:r w:rsidRPr="00023BCA">
              <w:rPr>
                <w:rFonts w:eastAsia="標楷體" w:hAnsi="標楷體" w:hint="eastAsia"/>
                <w:color w:val="000000"/>
                <w:spacing w:val="-20"/>
              </w:rPr>
              <w:t>（新臺幣美元匯率應以出發前一天台灣銀行公告之即期賣出匯率算之）</w:t>
            </w:r>
            <w:r w:rsidRPr="00023BCA">
              <w:rPr>
                <w:rFonts w:eastAsia="標楷體" w:hAnsi="標楷體"/>
                <w:color w:val="000000"/>
                <w:spacing w:val="-20"/>
              </w:rPr>
              <w:t>，補助日數亞洲地區不得逾五日，其他地區不得逾六日。</w:t>
            </w:r>
          </w:p>
        </w:tc>
      </w:tr>
      <w:tr w:rsidR="00DA30A0" w:rsidRPr="00023BCA" w:rsidTr="00B14CBD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108" w:type="dxa"/>
          </w:tcPr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其他國際影展</w:t>
            </w:r>
          </w:p>
        </w:tc>
        <w:tc>
          <w:tcPr>
            <w:tcW w:w="3420" w:type="dxa"/>
          </w:tcPr>
          <w:p w:rsidR="00DA30A0" w:rsidRPr="00023BCA" w:rsidRDefault="00DA30A0" w:rsidP="00B14CBD">
            <w:pPr>
              <w:spacing w:line="320" w:lineRule="exact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經濟艙一人</w:t>
            </w:r>
          </w:p>
        </w:tc>
        <w:tc>
          <w:tcPr>
            <w:tcW w:w="1620" w:type="dxa"/>
          </w:tcPr>
          <w:p w:rsidR="00DA30A0" w:rsidRPr="00023BCA" w:rsidRDefault="00DA30A0" w:rsidP="00B14CBD">
            <w:pPr>
              <w:spacing w:line="320" w:lineRule="exact"/>
              <w:ind w:left="8"/>
              <w:jc w:val="center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見備註五</w:t>
            </w:r>
          </w:p>
        </w:tc>
        <w:tc>
          <w:tcPr>
            <w:tcW w:w="4680" w:type="dxa"/>
          </w:tcPr>
          <w:p w:rsidR="00DA30A0" w:rsidRPr="00023BCA" w:rsidRDefault="00DA30A0" w:rsidP="00B14CBD">
            <w:pPr>
              <w:spacing w:line="320" w:lineRule="exact"/>
              <w:ind w:left="8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補助費用比照中央機關公務員「國外出差旅費報支要點」及「中央政府各機關派赴國外各地區出差人員</w:t>
            </w:r>
            <w:proofErr w:type="gramStart"/>
            <w:r w:rsidRPr="00023BCA">
              <w:rPr>
                <w:rFonts w:eastAsia="標楷體" w:hAnsi="標楷體"/>
                <w:color w:val="000000"/>
                <w:spacing w:val="-20"/>
              </w:rPr>
              <w:t>生活費日支數額</w:t>
            </w:r>
            <w:proofErr w:type="gramEnd"/>
            <w:r w:rsidRPr="00023BCA">
              <w:rPr>
                <w:rFonts w:eastAsia="標楷體" w:hAnsi="標楷體"/>
                <w:color w:val="000000"/>
                <w:spacing w:val="-20"/>
              </w:rPr>
              <w:t>表」規定核計</w:t>
            </w:r>
            <w:r w:rsidRPr="00023BCA">
              <w:rPr>
                <w:rFonts w:eastAsia="標楷體" w:hAnsi="標楷體" w:hint="eastAsia"/>
                <w:color w:val="000000"/>
                <w:spacing w:val="-20"/>
              </w:rPr>
              <w:t>（新臺幣美元匯率應以出發前一天台灣銀行公告之即期賣出匯率算之）</w:t>
            </w:r>
            <w:r w:rsidRPr="00023BCA">
              <w:rPr>
                <w:rFonts w:eastAsia="標楷體" w:hAnsi="標楷體"/>
                <w:color w:val="000000"/>
                <w:spacing w:val="-20"/>
              </w:rPr>
              <w:t>，補助日數亞洲地區不得逾五日，其他地區不得逾六日。</w:t>
            </w:r>
          </w:p>
          <w:p w:rsidR="00DA30A0" w:rsidRPr="00023BCA" w:rsidRDefault="00DA30A0" w:rsidP="00B14CBD">
            <w:pPr>
              <w:spacing w:line="320" w:lineRule="exact"/>
              <w:ind w:left="8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核給金額為依前項規定核算之半數。</w:t>
            </w:r>
          </w:p>
        </w:tc>
      </w:tr>
      <w:tr w:rsidR="00DA30A0" w:rsidRPr="00023BCA" w:rsidTr="00B14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</w:tcPr>
          <w:p w:rsidR="00DA30A0" w:rsidRPr="00023BCA" w:rsidRDefault="00DA30A0" w:rsidP="00B14CBD">
            <w:pPr>
              <w:spacing w:line="320" w:lineRule="exact"/>
              <w:ind w:firstLineChars="100" w:firstLine="200"/>
              <w:rPr>
                <w:rFonts w:eastAsia="標楷體"/>
                <w:color w:val="000000"/>
                <w:spacing w:val="-20"/>
              </w:rPr>
            </w:pPr>
          </w:p>
          <w:p w:rsidR="00DA30A0" w:rsidRPr="00023BCA" w:rsidRDefault="00DA30A0" w:rsidP="00B14CBD">
            <w:pPr>
              <w:spacing w:line="320" w:lineRule="exact"/>
              <w:ind w:firstLineChars="100" w:firstLine="200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備</w:t>
            </w:r>
            <w:r w:rsidRPr="00023BCA">
              <w:rPr>
                <w:rFonts w:eastAsia="標楷體"/>
                <w:color w:val="000000"/>
                <w:spacing w:val="-20"/>
              </w:rPr>
              <w:t xml:space="preserve">    </w:t>
            </w:r>
            <w:proofErr w:type="gramStart"/>
            <w:r w:rsidRPr="00023BCA">
              <w:rPr>
                <w:rFonts w:eastAsia="標楷體" w:hAnsi="標楷體"/>
                <w:color w:val="000000"/>
                <w:spacing w:val="-20"/>
              </w:rPr>
              <w:t>註</w:t>
            </w:r>
            <w:proofErr w:type="gramEnd"/>
          </w:p>
        </w:tc>
        <w:tc>
          <w:tcPr>
            <w:tcW w:w="9720" w:type="dxa"/>
            <w:gridSpan w:val="3"/>
          </w:tcPr>
          <w:p w:rsidR="00DA30A0" w:rsidRPr="00023BCA" w:rsidRDefault="00DA30A0" w:rsidP="00B14CBD">
            <w:pPr>
              <w:pStyle w:val="2"/>
              <w:spacing w:line="320" w:lineRule="exact"/>
              <w:ind w:left="24" w:firstLineChars="0" w:firstLine="0"/>
              <w:rPr>
                <w:rFonts w:ascii="Times New Roman" w:hAnsi="標楷體" w:hint="eastAsia"/>
                <w:color w:val="000000"/>
                <w:spacing w:val="-20"/>
                <w:sz w:val="24"/>
              </w:rPr>
            </w:pPr>
            <w:r w:rsidRPr="00023BCA">
              <w:rPr>
                <w:rFonts w:ascii="Times New Roman" w:hAnsi="標楷體" w:hint="eastAsia"/>
                <w:color w:val="000000"/>
                <w:spacing w:val="-20"/>
                <w:sz w:val="24"/>
              </w:rPr>
              <w:t>一、</w:t>
            </w:r>
            <w:r w:rsidRPr="00023BCA">
              <w:rPr>
                <w:rFonts w:ascii="Times New Roman" w:hAnsi="標楷體"/>
                <w:color w:val="000000"/>
                <w:spacing w:val="-20"/>
                <w:sz w:val="24"/>
              </w:rPr>
              <w:t>入圍第一類、第二類、第三類及第四類及其他國際影展之影片，得申請補助。但入圍導演專題、電影從</w:t>
            </w:r>
            <w:r>
              <w:rPr>
                <w:rFonts w:ascii="Times New Roman" w:hAnsi="標楷體" w:hint="eastAsia"/>
                <w:color w:val="000000"/>
                <w:spacing w:val="-20"/>
                <w:sz w:val="24"/>
              </w:rPr>
              <w:t>業</w:t>
            </w:r>
          </w:p>
          <w:p w:rsidR="00DA30A0" w:rsidRPr="00023BCA" w:rsidRDefault="00DA30A0" w:rsidP="00B14CBD">
            <w:pPr>
              <w:pStyle w:val="2"/>
              <w:spacing w:line="320" w:lineRule="exact"/>
              <w:ind w:left="24" w:firstLineChars="0" w:firstLine="0"/>
              <w:rPr>
                <w:rFonts w:ascii="Times New Roman" w:hAnsi="標楷體" w:hint="eastAsia"/>
                <w:color w:val="000000"/>
                <w:spacing w:val="-20"/>
                <w:sz w:val="24"/>
              </w:rPr>
            </w:pPr>
            <w:r w:rsidRPr="00023BCA">
              <w:rPr>
                <w:rFonts w:ascii="Times New Roman" w:hAnsi="標楷體" w:hint="eastAsia"/>
                <w:color w:val="000000"/>
                <w:spacing w:val="-20"/>
                <w:sz w:val="24"/>
              </w:rPr>
              <w:t xml:space="preserve">     </w:t>
            </w:r>
            <w:r w:rsidRPr="00023BCA">
              <w:rPr>
                <w:rFonts w:ascii="Times New Roman" w:hAnsi="標楷體"/>
                <w:color w:val="000000"/>
                <w:spacing w:val="-20"/>
                <w:sz w:val="24"/>
              </w:rPr>
              <w:t>人員專題、回顧性專題及國家專題單元之影片，不得申請。</w:t>
            </w:r>
          </w:p>
          <w:p w:rsidR="00DA30A0" w:rsidRPr="00023BCA" w:rsidRDefault="00DA30A0" w:rsidP="00B14CBD">
            <w:pPr>
              <w:spacing w:line="320" w:lineRule="exact"/>
              <w:ind w:leftChars="10" w:left="424" w:hangingChars="200" w:hanging="400"/>
              <w:jc w:val="both"/>
              <w:rPr>
                <w:rFonts w:eastAsia="標楷體"/>
                <w:color w:val="000000"/>
                <w:spacing w:val="-20"/>
              </w:rPr>
            </w:pPr>
            <w:r w:rsidRPr="00023BCA">
              <w:rPr>
                <w:rFonts w:eastAsia="標楷體" w:hAnsi="標楷體"/>
                <w:color w:val="000000"/>
                <w:spacing w:val="-20"/>
              </w:rPr>
              <w:t>二、補助參展之人員限於參與該參展</w:t>
            </w:r>
            <w:proofErr w:type="gramStart"/>
            <w:r w:rsidRPr="00023BCA">
              <w:rPr>
                <w:rFonts w:eastAsia="標楷體" w:hAnsi="標楷體"/>
                <w:color w:val="000000"/>
                <w:spacing w:val="-20"/>
              </w:rPr>
              <w:t>電影片製</w:t>
            </w:r>
            <w:proofErr w:type="gramEnd"/>
            <w:r w:rsidRPr="00023BCA">
              <w:rPr>
                <w:rFonts w:eastAsia="標楷體" w:hAnsi="標楷體"/>
                <w:color w:val="000000"/>
                <w:spacing w:val="-20"/>
              </w:rPr>
              <w:t>、編、導、演人員，且每人每年以補助二次為原則。</w:t>
            </w:r>
          </w:p>
          <w:p w:rsidR="00DA30A0" w:rsidRPr="00023BCA" w:rsidRDefault="00DA30A0" w:rsidP="00B14CBD">
            <w:pPr>
              <w:pStyle w:val="a7"/>
              <w:spacing w:line="320" w:lineRule="exact"/>
              <w:ind w:leftChars="0" w:left="0"/>
              <w:rPr>
                <w:rFonts w:eastAsia="標楷體" w:hAnsi="標楷體" w:hint="eastAsia"/>
                <w:color w:val="000000"/>
                <w:spacing w:val="-20"/>
                <w:lang w:eastAsia="zh-TW"/>
              </w:rPr>
            </w:pP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三、同一部電影片，除參加第一類國際影展外，每年補助不得逾四人次。</w:t>
            </w:r>
          </w:p>
          <w:p w:rsidR="00DA30A0" w:rsidRPr="00023BCA" w:rsidRDefault="00DA30A0" w:rsidP="00B14CBD">
            <w:pPr>
              <w:pStyle w:val="a7"/>
              <w:spacing w:line="320" w:lineRule="exact"/>
              <w:ind w:leftChars="0" w:left="0"/>
              <w:rPr>
                <w:rFonts w:eastAsia="標楷體" w:hint="eastAsia"/>
                <w:color w:val="000000"/>
                <w:spacing w:val="-20"/>
                <w:lang w:eastAsia="zh-TW"/>
              </w:rPr>
            </w:pPr>
            <w:r w:rsidRPr="00023BCA">
              <w:rPr>
                <w:rFonts w:eastAsia="標楷體" w:hint="eastAsia"/>
                <w:color w:val="000000"/>
                <w:spacing w:val="-20"/>
                <w:lang w:eastAsia="zh-TW"/>
              </w:rPr>
              <w:t>四、（一）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參展人員之機票費用：以實報實銷為原則，且不得逾下列規定之上限。商務艙機票</w:t>
            </w:r>
            <w:r w:rsidRPr="00023BCA">
              <w:rPr>
                <w:rFonts w:eastAsia="標楷體"/>
                <w:color w:val="000000"/>
                <w:spacing w:val="-20"/>
                <w:lang w:eastAsia="zh-TW"/>
              </w:rPr>
              <w:t xml:space="preserve">  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歐</w:t>
            </w:r>
            <w:r w:rsidRPr="00023BCA">
              <w:rPr>
                <w:rFonts w:eastAsia="標楷體"/>
                <w:color w:val="000000"/>
                <w:spacing w:val="-20"/>
                <w:lang w:eastAsia="zh-TW"/>
              </w:rPr>
              <w:t xml:space="preserve"> 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洲地區</w:t>
            </w:r>
            <w:r w:rsidRPr="00023BCA">
              <w:rPr>
                <w:rFonts w:eastAsia="標楷體"/>
                <w:color w:val="000000"/>
                <w:spacing w:val="-20"/>
                <w:lang w:eastAsia="zh-TW"/>
              </w:rPr>
              <w:t xml:space="preserve"> </w:t>
            </w:r>
          </w:p>
          <w:p w:rsidR="00DA30A0" w:rsidRPr="00023BCA" w:rsidRDefault="00DA30A0" w:rsidP="00B14CBD">
            <w:pPr>
              <w:pStyle w:val="a7"/>
              <w:spacing w:line="320" w:lineRule="exact"/>
              <w:ind w:leftChars="0" w:left="0"/>
              <w:rPr>
                <w:rFonts w:eastAsia="標楷體" w:hAnsi="標楷體" w:hint="eastAsia"/>
                <w:color w:val="000000"/>
                <w:spacing w:val="-20"/>
                <w:lang w:eastAsia="zh-TW"/>
              </w:rPr>
            </w:pPr>
            <w:r w:rsidRPr="00023BCA">
              <w:rPr>
                <w:rFonts w:eastAsia="標楷體" w:hint="eastAsia"/>
                <w:color w:val="000000"/>
                <w:spacing w:val="-20"/>
                <w:lang w:eastAsia="zh-TW"/>
              </w:rPr>
              <w:t xml:space="preserve">             </w:t>
            </w:r>
            <w:r w:rsidRPr="00023BCA">
              <w:rPr>
                <w:rFonts w:eastAsia="標楷體"/>
                <w:color w:val="000000"/>
                <w:spacing w:val="-20"/>
                <w:lang w:eastAsia="zh-TW"/>
              </w:rPr>
              <w:t xml:space="preserve"> 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新臺幣十四萬元；美洲地區</w:t>
            </w:r>
            <w:r w:rsidRPr="00023BCA">
              <w:rPr>
                <w:rFonts w:eastAsia="標楷體"/>
                <w:color w:val="000000"/>
                <w:spacing w:val="-20"/>
                <w:lang w:eastAsia="zh-TW"/>
              </w:rPr>
              <w:t xml:space="preserve">  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新臺幣十萬元。</w:t>
            </w:r>
          </w:p>
          <w:p w:rsidR="00DA30A0" w:rsidRPr="00023BCA" w:rsidRDefault="00DA30A0" w:rsidP="00B14CBD">
            <w:pPr>
              <w:pStyle w:val="a7"/>
              <w:spacing w:line="320" w:lineRule="exact"/>
              <w:ind w:leftChars="0" w:left="360"/>
              <w:rPr>
                <w:rFonts w:eastAsia="標楷體" w:hint="eastAsia"/>
                <w:color w:val="000000"/>
                <w:spacing w:val="-20"/>
                <w:lang w:eastAsia="zh-TW"/>
              </w:rPr>
            </w:pPr>
            <w:r w:rsidRPr="00023BCA">
              <w:rPr>
                <w:rFonts w:eastAsia="標楷體" w:hAnsi="標楷體" w:hint="eastAsia"/>
                <w:color w:val="000000"/>
                <w:spacing w:val="-20"/>
                <w:lang w:eastAsia="zh-TW"/>
              </w:rPr>
              <w:t>（二）</w:t>
            </w:r>
            <w:r>
              <w:rPr>
                <w:rFonts w:eastAsia="標楷體" w:hAnsi="標楷體" w:hint="eastAsia"/>
                <w:color w:val="000000"/>
                <w:spacing w:val="-20"/>
                <w:lang w:eastAsia="zh-TW"/>
              </w:rPr>
              <w:t>經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濟艙機票</w:t>
            </w:r>
            <w:r w:rsidRPr="00023BCA">
              <w:rPr>
                <w:rFonts w:eastAsia="標楷體"/>
                <w:color w:val="000000"/>
                <w:spacing w:val="-20"/>
                <w:lang w:eastAsia="zh-TW"/>
              </w:rPr>
              <w:t xml:space="preserve">  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歐洲、美洲、</w:t>
            </w:r>
            <w:proofErr w:type="gramStart"/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紐</w:t>
            </w:r>
            <w:proofErr w:type="gramEnd"/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澳、非洲地區</w:t>
            </w:r>
            <w:r w:rsidRPr="00023BCA">
              <w:rPr>
                <w:rFonts w:eastAsia="標楷體"/>
                <w:color w:val="000000"/>
                <w:spacing w:val="-20"/>
                <w:lang w:eastAsia="zh-TW"/>
              </w:rPr>
              <w:t xml:space="preserve">  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新臺幣四萬元；亞洲地區</w:t>
            </w:r>
            <w:r w:rsidRPr="00023BCA">
              <w:rPr>
                <w:rFonts w:eastAsia="標楷體"/>
                <w:color w:val="000000"/>
                <w:spacing w:val="-20"/>
                <w:lang w:eastAsia="zh-TW"/>
              </w:rPr>
              <w:t xml:space="preserve">  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新臺幣一萬五千元。</w:t>
            </w:r>
          </w:p>
          <w:p w:rsidR="00DA30A0" w:rsidRPr="00023BCA" w:rsidRDefault="00DA30A0" w:rsidP="00B14CBD">
            <w:pPr>
              <w:pStyle w:val="a7"/>
              <w:spacing w:line="320" w:lineRule="exact"/>
              <w:ind w:leftChars="0" w:left="0"/>
              <w:rPr>
                <w:rFonts w:eastAsia="標楷體" w:hAnsi="標楷體" w:hint="eastAsia"/>
                <w:color w:val="000000"/>
                <w:spacing w:val="-20"/>
                <w:lang w:eastAsia="zh-TW"/>
              </w:rPr>
            </w:pPr>
            <w:r w:rsidRPr="00023BCA">
              <w:rPr>
                <w:rFonts w:eastAsia="標楷體" w:hint="eastAsia"/>
                <w:color w:val="000000"/>
                <w:spacing w:val="-20"/>
                <w:lang w:eastAsia="zh-TW"/>
              </w:rPr>
              <w:t>五、「其他國際影展」之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參展人員之機票費用，以實支機票款之半數補助，且不得逾備註第</w:t>
            </w:r>
            <w:r w:rsidRPr="00023BCA">
              <w:rPr>
                <w:rFonts w:eastAsia="標楷體" w:hAnsi="標楷體" w:hint="eastAsia"/>
                <w:color w:val="000000"/>
                <w:spacing w:val="-20"/>
                <w:lang w:eastAsia="zh-TW"/>
              </w:rPr>
              <w:t>四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點第</w:t>
            </w:r>
            <w:r w:rsidRPr="00023BCA">
              <w:rPr>
                <w:rFonts w:eastAsia="標楷體"/>
                <w:color w:val="000000"/>
                <w:spacing w:val="-20"/>
                <w:lang w:eastAsia="zh-TW"/>
              </w:rPr>
              <w:t>(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二</w:t>
            </w:r>
            <w:r w:rsidRPr="00023BCA">
              <w:rPr>
                <w:rFonts w:eastAsia="標楷體"/>
                <w:color w:val="000000"/>
                <w:spacing w:val="-20"/>
                <w:lang w:eastAsia="zh-TW"/>
              </w:rPr>
              <w:t>)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款規定之</w:t>
            </w:r>
          </w:p>
          <w:p w:rsidR="00DA30A0" w:rsidRPr="00023BCA" w:rsidRDefault="00DA30A0" w:rsidP="00B14CBD">
            <w:pPr>
              <w:pStyle w:val="a7"/>
              <w:spacing w:line="320" w:lineRule="exact"/>
              <w:ind w:leftChars="0" w:left="0"/>
              <w:rPr>
                <w:rFonts w:eastAsia="標楷體"/>
                <w:color w:val="000000"/>
                <w:spacing w:val="-20"/>
                <w:lang w:eastAsia="zh-TW"/>
              </w:rPr>
            </w:pPr>
            <w:r w:rsidRPr="00023BCA">
              <w:rPr>
                <w:rFonts w:eastAsia="標楷體" w:hAnsi="標楷體" w:hint="eastAsia"/>
                <w:color w:val="000000"/>
                <w:spacing w:val="-20"/>
                <w:lang w:eastAsia="zh-TW"/>
              </w:rPr>
              <w:t xml:space="preserve">     </w:t>
            </w:r>
            <w:r w:rsidRPr="00023BCA">
              <w:rPr>
                <w:rFonts w:eastAsia="標楷體" w:hAnsi="標楷體"/>
                <w:color w:val="000000"/>
                <w:spacing w:val="-20"/>
                <w:lang w:eastAsia="zh-TW"/>
              </w:rPr>
              <w:t>上限半數。</w:t>
            </w:r>
          </w:p>
        </w:tc>
      </w:tr>
    </w:tbl>
    <w:p w:rsidR="00DA30A0" w:rsidRDefault="00DA30A0"/>
    <w:sectPr w:rsidR="00DA30A0" w:rsidSect="00DA3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D7" w:rsidRDefault="002C1DD7" w:rsidP="00DA30A0">
      <w:r>
        <w:separator/>
      </w:r>
    </w:p>
  </w:endnote>
  <w:endnote w:type="continuationSeparator" w:id="0">
    <w:p w:rsidR="002C1DD7" w:rsidRDefault="002C1DD7" w:rsidP="00DA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D7" w:rsidRDefault="002C1DD7" w:rsidP="00DA30A0">
      <w:r>
        <w:separator/>
      </w:r>
    </w:p>
  </w:footnote>
  <w:footnote w:type="continuationSeparator" w:id="0">
    <w:p w:rsidR="002C1DD7" w:rsidRDefault="002C1DD7" w:rsidP="00DA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8CF"/>
    <w:multiLevelType w:val="hybridMultilevel"/>
    <w:tmpl w:val="C324BD60"/>
    <w:lvl w:ilvl="0" w:tplc="588EB830">
      <w:start w:val="1"/>
      <w:numFmt w:val="taiwaneseCountingThousand"/>
      <w:lvlText w:val="%1、"/>
      <w:lvlJc w:val="left"/>
      <w:pPr>
        <w:tabs>
          <w:tab w:val="num" w:pos="440"/>
        </w:tabs>
        <w:ind w:left="440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8"/>
        </w:tabs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8"/>
        </w:tabs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8"/>
        </w:tabs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8"/>
        </w:tabs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8"/>
        </w:tabs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8"/>
        </w:tabs>
        <w:ind w:left="432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0A0"/>
    <w:rsid w:val="00236717"/>
    <w:rsid w:val="002C1DD7"/>
    <w:rsid w:val="004013A3"/>
    <w:rsid w:val="00DA30A0"/>
    <w:rsid w:val="00F7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30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3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30A0"/>
    <w:rPr>
      <w:sz w:val="20"/>
      <w:szCs w:val="20"/>
    </w:rPr>
  </w:style>
  <w:style w:type="paragraph" w:styleId="2">
    <w:name w:val="Body Text Indent 2"/>
    <w:basedOn w:val="a"/>
    <w:link w:val="20"/>
    <w:rsid w:val="00DA30A0"/>
    <w:pPr>
      <w:spacing w:line="0" w:lineRule="atLeast"/>
      <w:ind w:left="400" w:hangingChars="200" w:hanging="400"/>
      <w:jc w:val="both"/>
    </w:pPr>
    <w:rPr>
      <w:rFonts w:ascii="標楷體" w:eastAsia="標楷體"/>
      <w:sz w:val="20"/>
    </w:rPr>
  </w:style>
  <w:style w:type="character" w:customStyle="1" w:styleId="20">
    <w:name w:val="本文縮排 2 字元"/>
    <w:basedOn w:val="a0"/>
    <w:link w:val="2"/>
    <w:rsid w:val="00DA30A0"/>
    <w:rPr>
      <w:rFonts w:ascii="標楷體" w:eastAsia="標楷體" w:hAnsi="Times New Roman" w:cs="Times New Roman"/>
      <w:sz w:val="20"/>
      <w:szCs w:val="24"/>
    </w:rPr>
  </w:style>
  <w:style w:type="paragraph" w:styleId="a7">
    <w:name w:val="Body Text Indent"/>
    <w:basedOn w:val="a"/>
    <w:link w:val="a8"/>
    <w:rsid w:val="00DA30A0"/>
    <w:pPr>
      <w:spacing w:after="120"/>
      <w:ind w:leftChars="200" w:left="480"/>
    </w:pPr>
    <w:rPr>
      <w:lang w:eastAsia="ja-JP"/>
    </w:rPr>
  </w:style>
  <w:style w:type="character" w:customStyle="1" w:styleId="a8">
    <w:name w:val="本文縮排 字元"/>
    <w:basedOn w:val="a0"/>
    <w:link w:val="a7"/>
    <w:rsid w:val="00DA30A0"/>
    <w:rPr>
      <w:rFonts w:ascii="Times New Roman" w:eastAsia="新細明體" w:hAnsi="Times New Roman" w:cs="Times New Roman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c90002</dc:creator>
  <cp:keywords/>
  <dc:description/>
  <cp:lastModifiedBy>c90002</cp:lastModifiedBy>
  <cp:revision>2</cp:revision>
  <dcterms:created xsi:type="dcterms:W3CDTF">2013-03-11T03:12:00Z</dcterms:created>
  <dcterms:modified xsi:type="dcterms:W3CDTF">2013-03-11T03:13:00Z</dcterms:modified>
</cp:coreProperties>
</file>