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78" w:rsidRPr="00737278" w:rsidRDefault="00737278" w:rsidP="00737278">
      <w:pPr>
        <w:shd w:val="clear" w:color="auto" w:fill="FFFFFF"/>
        <w:spacing w:line="360" w:lineRule="atLeast"/>
        <w:jc w:val="center"/>
        <w:rPr>
          <w:rFonts w:ascii="標楷體" w:eastAsia="標楷體" w:hAnsi="標楷體" w:cs="新細明體"/>
          <w:color w:val="000000"/>
          <w:kern w:val="0"/>
          <w:sz w:val="28"/>
          <w:szCs w:val="28"/>
        </w:rPr>
      </w:pPr>
      <w:proofErr w:type="gramStart"/>
      <w:r w:rsidRPr="00737278">
        <w:rPr>
          <w:rFonts w:ascii="標楷體" w:eastAsia="標楷體" w:hAnsi="標楷體" w:cs="新細明體" w:hint="eastAsia"/>
          <w:b/>
          <w:bCs/>
          <w:color w:val="000000"/>
          <w:kern w:val="0"/>
          <w:sz w:val="28"/>
          <w:szCs w:val="28"/>
        </w:rPr>
        <w:t>文化部及所屬</w:t>
      </w:r>
      <w:proofErr w:type="gramEnd"/>
      <w:r w:rsidRPr="00737278">
        <w:rPr>
          <w:rFonts w:ascii="標楷體" w:eastAsia="標楷體" w:hAnsi="標楷體" w:cs="新細明體" w:hint="eastAsia"/>
          <w:b/>
          <w:bCs/>
          <w:color w:val="000000"/>
          <w:kern w:val="0"/>
          <w:sz w:val="28"/>
          <w:szCs w:val="28"/>
        </w:rPr>
        <w:t>機關（構）辦理影視及</w:t>
      </w:r>
      <w:proofErr w:type="gramStart"/>
      <w:r w:rsidRPr="00737278">
        <w:rPr>
          <w:rFonts w:ascii="標楷體" w:eastAsia="標楷體" w:hAnsi="標楷體" w:cs="新細明體" w:hint="eastAsia"/>
          <w:b/>
          <w:bCs/>
          <w:color w:val="000000"/>
          <w:kern w:val="0"/>
          <w:sz w:val="28"/>
          <w:szCs w:val="28"/>
        </w:rPr>
        <w:t>流行音樂類補</w:t>
      </w:r>
      <w:proofErr w:type="gramEnd"/>
      <w:r w:rsidRPr="00737278">
        <w:rPr>
          <w:rFonts w:ascii="標楷體" w:eastAsia="標楷體" w:hAnsi="標楷體" w:cs="新細明體" w:hint="eastAsia"/>
          <w:b/>
          <w:bCs/>
          <w:color w:val="000000"/>
          <w:kern w:val="0"/>
          <w:sz w:val="28"/>
          <w:szCs w:val="28"/>
        </w:rPr>
        <w:t>（捐）助業務作業要點</w:t>
      </w:r>
    </w:p>
    <w:p w:rsidR="00737278" w:rsidRPr="00737278" w:rsidRDefault="00737278" w:rsidP="00737278">
      <w:pPr>
        <w:shd w:val="clear" w:color="auto" w:fill="FFFFFF"/>
        <w:spacing w:line="360" w:lineRule="atLeast"/>
        <w:jc w:val="right"/>
        <w:rPr>
          <w:rFonts w:ascii="微軟正黑體" w:eastAsia="微軟正黑體" w:hAnsi="微軟正黑體" w:cs="新細明體" w:hint="eastAsia"/>
          <w:color w:val="000000"/>
          <w:kern w:val="0"/>
          <w:sz w:val="16"/>
          <w:szCs w:val="16"/>
        </w:rPr>
      </w:pPr>
      <w:r w:rsidRPr="00737278">
        <w:rPr>
          <w:rFonts w:ascii="微軟正黑體" w:eastAsia="微軟正黑體" w:hAnsi="微軟正黑體" w:cs="新細明體" w:hint="eastAsia"/>
          <w:color w:val="000000"/>
          <w:kern w:val="0"/>
          <w:sz w:val="16"/>
          <w:szCs w:val="16"/>
        </w:rPr>
        <w:t>中華民國101年10月15日文化</w:t>
      </w:r>
      <w:proofErr w:type="gramStart"/>
      <w:r w:rsidRPr="00737278">
        <w:rPr>
          <w:rFonts w:ascii="微軟正黑體" w:eastAsia="微軟正黑體" w:hAnsi="微軟正黑體" w:cs="新細明體" w:hint="eastAsia"/>
          <w:color w:val="000000"/>
          <w:kern w:val="0"/>
          <w:sz w:val="16"/>
          <w:szCs w:val="16"/>
        </w:rPr>
        <w:t>部文影字</w:t>
      </w:r>
      <w:proofErr w:type="gramEnd"/>
      <w:r w:rsidRPr="00737278">
        <w:rPr>
          <w:rFonts w:ascii="微軟正黑體" w:eastAsia="微軟正黑體" w:hAnsi="微軟正黑體" w:cs="新細明體" w:hint="eastAsia"/>
          <w:color w:val="000000"/>
          <w:kern w:val="0"/>
          <w:sz w:val="16"/>
          <w:szCs w:val="16"/>
        </w:rPr>
        <w:t>第10120385811號令訂定發布 </w:t>
      </w:r>
    </w:p>
    <w:p w:rsidR="00737278" w:rsidRPr="00737278" w:rsidRDefault="00737278" w:rsidP="00737278">
      <w:pPr>
        <w:shd w:val="clear" w:color="auto" w:fill="FFFFFF"/>
        <w:spacing w:line="360" w:lineRule="atLeast"/>
        <w:jc w:val="right"/>
        <w:rPr>
          <w:rFonts w:ascii="微軟正黑體" w:eastAsia="微軟正黑體" w:hAnsi="微軟正黑體" w:cs="新細明體" w:hint="eastAsia"/>
          <w:color w:val="000000"/>
          <w:kern w:val="0"/>
          <w:sz w:val="16"/>
          <w:szCs w:val="16"/>
        </w:rPr>
      </w:pPr>
      <w:r w:rsidRPr="00737278">
        <w:rPr>
          <w:rFonts w:ascii="微軟正黑體" w:eastAsia="微軟正黑體" w:hAnsi="微軟正黑體" w:cs="新細明體" w:hint="eastAsia"/>
          <w:color w:val="000000"/>
          <w:kern w:val="0"/>
          <w:sz w:val="16"/>
          <w:szCs w:val="16"/>
        </w:rPr>
        <w:t>中華民國103年2月21日文化</w:t>
      </w:r>
      <w:proofErr w:type="gramStart"/>
      <w:r w:rsidRPr="00737278">
        <w:rPr>
          <w:rFonts w:ascii="微軟正黑體" w:eastAsia="微軟正黑體" w:hAnsi="微軟正黑體" w:cs="新細明體" w:hint="eastAsia"/>
          <w:color w:val="000000"/>
          <w:kern w:val="0"/>
          <w:sz w:val="16"/>
          <w:szCs w:val="16"/>
        </w:rPr>
        <w:t>部文影字</w:t>
      </w:r>
      <w:proofErr w:type="gramEnd"/>
      <w:r w:rsidRPr="00737278">
        <w:rPr>
          <w:rFonts w:ascii="微軟正黑體" w:eastAsia="微軟正黑體" w:hAnsi="微軟正黑體" w:cs="新細明體" w:hint="eastAsia"/>
          <w:color w:val="000000"/>
          <w:kern w:val="0"/>
          <w:sz w:val="16"/>
          <w:szCs w:val="16"/>
        </w:rPr>
        <w:t>第10320031272號令修正</w:t>
      </w:r>
    </w:p>
    <w:p w:rsidR="00737278" w:rsidRDefault="00737278" w:rsidP="00737278">
      <w:pPr>
        <w:shd w:val="clear" w:color="auto" w:fill="FFFFFF"/>
        <w:spacing w:line="360" w:lineRule="atLeast"/>
        <w:jc w:val="right"/>
        <w:rPr>
          <w:rFonts w:ascii="微軟正黑體" w:eastAsia="微軟正黑體" w:hAnsi="微軟正黑體" w:cs="新細明體" w:hint="eastAsia"/>
          <w:color w:val="000000"/>
          <w:kern w:val="0"/>
          <w:sz w:val="16"/>
          <w:szCs w:val="16"/>
        </w:rPr>
      </w:pPr>
      <w:r w:rsidRPr="00737278">
        <w:rPr>
          <w:rFonts w:ascii="微軟正黑體" w:eastAsia="微軟正黑體" w:hAnsi="微軟正黑體" w:cs="新細明體" w:hint="eastAsia"/>
          <w:color w:val="000000"/>
          <w:kern w:val="0"/>
          <w:sz w:val="16"/>
          <w:szCs w:val="16"/>
        </w:rPr>
        <w:t>中華民國103年10月29日文化</w:t>
      </w:r>
      <w:proofErr w:type="gramStart"/>
      <w:r w:rsidRPr="00737278">
        <w:rPr>
          <w:rFonts w:ascii="微軟正黑體" w:eastAsia="微軟正黑體" w:hAnsi="微軟正黑體" w:cs="新細明體" w:hint="eastAsia"/>
          <w:color w:val="000000"/>
          <w:kern w:val="0"/>
          <w:sz w:val="16"/>
          <w:szCs w:val="16"/>
        </w:rPr>
        <w:t>部文影字</w:t>
      </w:r>
      <w:proofErr w:type="gramEnd"/>
      <w:r w:rsidRPr="00737278">
        <w:rPr>
          <w:rFonts w:ascii="微軟正黑體" w:eastAsia="微軟正黑體" w:hAnsi="微軟正黑體" w:cs="新細明體" w:hint="eastAsia"/>
          <w:color w:val="000000"/>
          <w:kern w:val="0"/>
          <w:sz w:val="16"/>
          <w:szCs w:val="16"/>
        </w:rPr>
        <w:t>第10330283582號令修正</w:t>
      </w:r>
    </w:p>
    <w:p w:rsidR="00AF0F64" w:rsidRPr="00737278" w:rsidRDefault="00AF0F64" w:rsidP="00737278">
      <w:pPr>
        <w:shd w:val="clear" w:color="auto" w:fill="FFFFFF"/>
        <w:spacing w:line="360" w:lineRule="atLeast"/>
        <w:jc w:val="right"/>
        <w:rPr>
          <w:rFonts w:ascii="微軟正黑體" w:eastAsia="微軟正黑體" w:hAnsi="微軟正黑體" w:cs="新細明體" w:hint="eastAsia"/>
          <w:color w:val="000000"/>
          <w:kern w:val="0"/>
          <w:sz w:val="20"/>
          <w:szCs w:val="20"/>
        </w:rPr>
      </w:pPr>
    </w:p>
    <w:p w:rsid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文化部（以下簡稱本部）為輔導電影、電視、廣播及流行音樂產業以推動流行文化之發展，特訂定本要點。</w:t>
      </w:r>
    </w:p>
    <w:p w:rsidR="00AF0F64" w:rsidRPr="00737278" w:rsidRDefault="00AF0F64" w:rsidP="00AF0F64">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本部及所屬機關（構）依本要點辦理補（捐）助之申請案，應依行政院訂定之「中央政府各機關對民間團體及個人補（捐）助預算執行應注意事項」及本要點規定辦理。但法律</w:t>
      </w:r>
      <w:proofErr w:type="gramStart"/>
      <w:r w:rsidRPr="00737278">
        <w:rPr>
          <w:rFonts w:ascii="標楷體" w:eastAsia="標楷體" w:hAnsi="標楷體" w:cs="新細明體" w:hint="eastAsia"/>
          <w:color w:val="000000"/>
          <w:kern w:val="0"/>
          <w:sz w:val="28"/>
          <w:szCs w:val="28"/>
        </w:rPr>
        <w:t>（</w:t>
      </w:r>
      <w:proofErr w:type="gramEnd"/>
      <w:r w:rsidRPr="00737278">
        <w:rPr>
          <w:rFonts w:ascii="標楷體" w:eastAsia="標楷體" w:hAnsi="標楷體" w:cs="新細明體" w:hint="eastAsia"/>
          <w:color w:val="000000"/>
          <w:kern w:val="0"/>
          <w:sz w:val="28"/>
          <w:szCs w:val="28"/>
        </w:rPr>
        <w:t>含經立法院審議通過本部預算書已明列補</w:t>
      </w:r>
      <w:proofErr w:type="gramStart"/>
      <w:r w:rsidRPr="00737278">
        <w:rPr>
          <w:rFonts w:ascii="標楷體" w:eastAsia="標楷體" w:hAnsi="標楷體" w:cs="新細明體" w:hint="eastAsia"/>
          <w:color w:val="000000"/>
          <w:kern w:val="0"/>
          <w:sz w:val="28"/>
          <w:szCs w:val="28"/>
        </w:rPr>
        <w:t>（</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w:t>
      </w:r>
      <w:proofErr w:type="gramEnd"/>
      <w:r w:rsidRPr="00737278">
        <w:rPr>
          <w:rFonts w:ascii="標楷體" w:eastAsia="標楷體" w:hAnsi="標楷體" w:cs="新細明體" w:hint="eastAsia"/>
          <w:color w:val="000000"/>
          <w:kern w:val="0"/>
          <w:sz w:val="28"/>
          <w:szCs w:val="28"/>
        </w:rPr>
        <w:t>助對象及補（捐）助金額之預算案</w:t>
      </w:r>
      <w:proofErr w:type="gramStart"/>
      <w:r w:rsidRPr="00737278">
        <w:rPr>
          <w:rFonts w:ascii="標楷體" w:eastAsia="標楷體" w:hAnsi="標楷體" w:cs="新細明體" w:hint="eastAsia"/>
          <w:color w:val="000000"/>
          <w:kern w:val="0"/>
          <w:sz w:val="28"/>
          <w:szCs w:val="28"/>
        </w:rPr>
        <w:t>）</w:t>
      </w:r>
      <w:proofErr w:type="gramEnd"/>
      <w:r w:rsidRPr="00737278">
        <w:rPr>
          <w:rFonts w:ascii="標楷體" w:eastAsia="標楷體" w:hAnsi="標楷體" w:cs="新細明體" w:hint="eastAsia"/>
          <w:color w:val="000000"/>
          <w:kern w:val="0"/>
          <w:sz w:val="28"/>
          <w:szCs w:val="28"/>
        </w:rPr>
        <w:t>、法規命令或行政</w:t>
      </w:r>
      <w:proofErr w:type="gramStart"/>
      <w:r w:rsidRPr="00737278">
        <w:rPr>
          <w:rFonts w:ascii="標楷體" w:eastAsia="標楷體" w:hAnsi="標楷體" w:cs="新細明體" w:hint="eastAsia"/>
          <w:color w:val="000000"/>
          <w:kern w:val="0"/>
          <w:sz w:val="28"/>
          <w:szCs w:val="28"/>
        </w:rPr>
        <w:t>規則另</w:t>
      </w:r>
      <w:proofErr w:type="gramEnd"/>
      <w:r w:rsidRPr="00737278">
        <w:rPr>
          <w:rFonts w:ascii="標楷體" w:eastAsia="標楷體" w:hAnsi="標楷體" w:cs="新細明體" w:hint="eastAsia"/>
          <w:color w:val="000000"/>
          <w:kern w:val="0"/>
          <w:sz w:val="28"/>
          <w:szCs w:val="28"/>
        </w:rPr>
        <w:t>有規定者，依其規定辦理。</w:t>
      </w:r>
    </w:p>
    <w:p w:rsidR="00AF0F64" w:rsidRPr="00AF0F64" w:rsidRDefault="00AF0F64" w:rsidP="00AF0F64">
      <w:pPr>
        <w:shd w:val="clear" w:color="auto" w:fill="FFFFFF"/>
        <w:spacing w:line="440" w:lineRule="exact"/>
        <w:rPr>
          <w:rFonts w:ascii="標楷體" w:eastAsia="標楷體" w:hAnsi="標楷體" w:cs="新細明體" w:hint="eastAsia"/>
          <w:color w:val="000000"/>
          <w:kern w:val="0"/>
          <w:sz w:val="28"/>
          <w:szCs w:val="28"/>
        </w:rPr>
      </w:pPr>
    </w:p>
    <w:p w:rsidR="00737278" w:rsidRP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本要點補助及輔導之對象，以本部輔導之電影、電視、廣播及流行音樂等產業。</w:t>
      </w:r>
    </w:p>
    <w:p w:rsidR="00737278" w:rsidRDefault="00737278" w:rsidP="00737278">
      <w:pPr>
        <w:pStyle w:val="a4"/>
        <w:shd w:val="clear" w:color="auto" w:fill="FFFFFF"/>
        <w:spacing w:line="440" w:lineRule="exact"/>
        <w:ind w:leftChars="0" w:left="72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前項所稱產業，包括推展電影、電視、廣播及流行音樂，且為國內登記立案之民間法人、團體、高中職學校及大專院校</w:t>
      </w:r>
      <w:r w:rsidRPr="00737278">
        <w:rPr>
          <w:rFonts w:ascii="標楷體" w:eastAsia="標楷體" w:hAnsi="標楷體" w:cs="新細明體" w:hint="eastAsia"/>
          <w:color w:val="000000"/>
          <w:kern w:val="0"/>
          <w:sz w:val="28"/>
          <w:szCs w:val="28"/>
        </w:rPr>
        <w:t>。</w:t>
      </w:r>
    </w:p>
    <w:p w:rsidR="00AF0F64" w:rsidRPr="00737278" w:rsidRDefault="00AF0F64" w:rsidP="00737278">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P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申請方式：</w:t>
      </w:r>
    </w:p>
    <w:p w:rsidR="00737278" w:rsidRPr="00737278" w:rsidRDefault="00737278" w:rsidP="00737278">
      <w:pPr>
        <w:pStyle w:val="a4"/>
        <w:shd w:val="clear" w:color="auto" w:fill="FFFFFF"/>
        <w:spacing w:line="440" w:lineRule="exact"/>
        <w:ind w:leftChars="0" w:left="72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依本要點申請補（捐）助案者，應於活動前一個月並檢附下列文件向本部或本部所屬機關（構）提出申請：</w:t>
      </w:r>
    </w:p>
    <w:p w:rsidR="00737278" w:rsidRPr="00737278" w:rsidRDefault="00737278" w:rsidP="00737278">
      <w:pPr>
        <w:pStyle w:val="a4"/>
        <w:numPr>
          <w:ilvl w:val="0"/>
          <w:numId w:val="2"/>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申請書一份。</w:t>
      </w:r>
    </w:p>
    <w:p w:rsidR="00737278" w:rsidRPr="00737278" w:rsidRDefault="00737278" w:rsidP="00737278">
      <w:pPr>
        <w:pStyle w:val="a4"/>
        <w:numPr>
          <w:ilvl w:val="0"/>
          <w:numId w:val="2"/>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活動企畫案（含活動名稱、目的、內容、時程、對象、地點及活動方式等）。</w:t>
      </w:r>
    </w:p>
    <w:p w:rsidR="00737278" w:rsidRPr="00737278" w:rsidRDefault="00737278" w:rsidP="00737278">
      <w:pPr>
        <w:pStyle w:val="a4"/>
        <w:numPr>
          <w:ilvl w:val="0"/>
          <w:numId w:val="2"/>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活動經費預估表（應列明全部經費項目及明細）。如申請案向二個以上機關提出申請補（捐）助，應列明全部經費內容，及向各機關申請補（捐）助之項目及金額。</w:t>
      </w:r>
    </w:p>
    <w:p w:rsidR="00737278" w:rsidRPr="00737278" w:rsidRDefault="00737278" w:rsidP="00737278">
      <w:pPr>
        <w:pStyle w:val="a4"/>
        <w:numPr>
          <w:ilvl w:val="0"/>
          <w:numId w:val="2"/>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其他本部或本部所屬機關（構）指定之文件。</w:t>
      </w:r>
    </w:p>
    <w:p w:rsidR="00737278" w:rsidRDefault="00737278" w:rsidP="00447EFB">
      <w:pPr>
        <w:pStyle w:val="a4"/>
        <w:shd w:val="clear" w:color="auto" w:fill="FFFFFF"/>
        <w:spacing w:line="440" w:lineRule="exact"/>
        <w:ind w:leftChars="0" w:left="72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申請案計畫內容對整體流行文化推動有重大助益或具時效性者，得不受前項申請時效之限制。</w:t>
      </w:r>
    </w:p>
    <w:p w:rsidR="00AF0F64" w:rsidRPr="00737278" w:rsidRDefault="00AF0F64" w:rsidP="00447EFB">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P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lastRenderedPageBreak/>
        <w:t>本部或本部所屬機關（構）受理本要點補（捐）助申請案，應就下列事項審核，以為准駁：</w:t>
      </w:r>
    </w:p>
    <w:p w:rsidR="00737278" w:rsidRPr="00737278" w:rsidRDefault="00737278" w:rsidP="00737278">
      <w:pPr>
        <w:pStyle w:val="a4"/>
        <w:numPr>
          <w:ilvl w:val="0"/>
          <w:numId w:val="3"/>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申請案是否有利本部及所屬機關（構）輔導電影、廣播、電視、流行音樂及其衍生之流行文化內容產業業務之推展</w:t>
      </w:r>
      <w:r w:rsidRPr="00737278">
        <w:rPr>
          <w:rFonts w:ascii="標楷體" w:eastAsia="標楷體" w:hAnsi="標楷體" w:cs="新細明體" w:hint="eastAsia"/>
          <w:color w:val="000000"/>
          <w:kern w:val="0"/>
          <w:sz w:val="28"/>
          <w:szCs w:val="28"/>
        </w:rPr>
        <w:t>。</w:t>
      </w:r>
    </w:p>
    <w:p w:rsidR="00737278" w:rsidRPr="00737278" w:rsidRDefault="00737278" w:rsidP="00737278">
      <w:pPr>
        <w:pStyle w:val="a4"/>
        <w:numPr>
          <w:ilvl w:val="0"/>
          <w:numId w:val="3"/>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補（捐）助次數：申請案之活動名稱、目的相同，而活動地點不同者，以一年至多補（捐）助三次為上限。</w:t>
      </w:r>
    </w:p>
    <w:p w:rsidR="00AF0F64" w:rsidRDefault="00737278" w:rsidP="00737278">
      <w:pPr>
        <w:pStyle w:val="a4"/>
        <w:numPr>
          <w:ilvl w:val="0"/>
          <w:numId w:val="3"/>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補（捐）助額度：就申請案之重要性、時效性、舉辦規模、預期效益及其他機關補助情形，</w:t>
      </w:r>
      <w:proofErr w:type="gramStart"/>
      <w:r w:rsidRPr="00737278">
        <w:rPr>
          <w:rFonts w:ascii="標楷體" w:eastAsia="標楷體" w:hAnsi="標楷體" w:cs="新細明體" w:hint="eastAsia"/>
          <w:color w:val="000000"/>
          <w:kern w:val="0"/>
          <w:sz w:val="28"/>
          <w:szCs w:val="28"/>
        </w:rPr>
        <w:t>衡酌補</w:t>
      </w:r>
      <w:proofErr w:type="gramEnd"/>
      <w:r w:rsidRPr="00737278">
        <w:rPr>
          <w:rFonts w:ascii="標楷體" w:eastAsia="標楷體" w:hAnsi="標楷體" w:cs="新細明體" w:hint="eastAsia"/>
          <w:color w:val="000000"/>
          <w:kern w:val="0"/>
          <w:sz w:val="28"/>
          <w:szCs w:val="28"/>
        </w:rPr>
        <w:t>（捐）助額度，且不得逾該申請案總經費百分之五十。但經提報本部或本部所屬機關（構）相關會報、審（評）議委員會審議或因業務</w:t>
      </w:r>
      <w:proofErr w:type="gramStart"/>
      <w:r w:rsidRPr="00737278">
        <w:rPr>
          <w:rFonts w:ascii="標楷體" w:eastAsia="標楷體" w:hAnsi="標楷體" w:cs="新細明體" w:hint="eastAsia"/>
          <w:color w:val="000000"/>
          <w:kern w:val="0"/>
          <w:sz w:val="28"/>
          <w:szCs w:val="28"/>
        </w:rPr>
        <w:t>需要經敘明理</w:t>
      </w:r>
      <w:proofErr w:type="gramEnd"/>
      <w:r w:rsidRPr="00737278">
        <w:rPr>
          <w:rFonts w:ascii="標楷體" w:eastAsia="標楷體" w:hAnsi="標楷體" w:cs="新細明體" w:hint="eastAsia"/>
          <w:color w:val="000000"/>
          <w:kern w:val="0"/>
          <w:sz w:val="28"/>
          <w:szCs w:val="28"/>
        </w:rPr>
        <w:t>由，並專案</w:t>
      </w:r>
      <w:proofErr w:type="gramStart"/>
      <w:r w:rsidRPr="00737278">
        <w:rPr>
          <w:rFonts w:ascii="標楷體" w:eastAsia="標楷體" w:hAnsi="標楷體" w:cs="新細明體" w:hint="eastAsia"/>
          <w:color w:val="000000"/>
          <w:kern w:val="0"/>
          <w:sz w:val="28"/>
          <w:szCs w:val="28"/>
        </w:rPr>
        <w:t>奉核補</w:t>
      </w:r>
      <w:proofErr w:type="gramEnd"/>
      <w:r w:rsidRPr="00737278">
        <w:rPr>
          <w:rFonts w:ascii="標楷體" w:eastAsia="標楷體" w:hAnsi="標楷體" w:cs="新細明體" w:hint="eastAsia"/>
          <w:color w:val="000000"/>
          <w:kern w:val="0"/>
          <w:sz w:val="28"/>
          <w:szCs w:val="28"/>
        </w:rPr>
        <w:t>（捐）助金額者，不在此限。</w:t>
      </w:r>
    </w:p>
    <w:p w:rsidR="00737278" w:rsidRDefault="00737278" w:rsidP="00AF0F64">
      <w:pPr>
        <w:pStyle w:val="a4"/>
        <w:shd w:val="clear" w:color="auto" w:fill="FFFFFF"/>
        <w:spacing w:line="440" w:lineRule="exact"/>
        <w:ind w:leftChars="0" w:left="72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本部或本部所屬機關（構）核定補（捐）助申請案時，應指定補（捐）</w:t>
      </w:r>
      <w:proofErr w:type="gramStart"/>
      <w:r w:rsidRPr="00737278">
        <w:rPr>
          <w:rFonts w:ascii="標楷體" w:eastAsia="標楷體" w:hAnsi="標楷體" w:cs="新細明體" w:hint="eastAsia"/>
          <w:color w:val="000000"/>
          <w:kern w:val="0"/>
          <w:sz w:val="28"/>
          <w:szCs w:val="28"/>
        </w:rPr>
        <w:t>助款之</w:t>
      </w:r>
      <w:proofErr w:type="gramEnd"/>
      <w:r w:rsidRPr="00737278">
        <w:rPr>
          <w:rFonts w:ascii="標楷體" w:eastAsia="標楷體" w:hAnsi="標楷體" w:cs="新細明體" w:hint="eastAsia"/>
          <w:color w:val="000000"/>
          <w:kern w:val="0"/>
          <w:sz w:val="28"/>
          <w:szCs w:val="28"/>
        </w:rPr>
        <w:t>使用範圍。</w:t>
      </w:r>
    </w:p>
    <w:p w:rsidR="00AF0F64" w:rsidRPr="00737278" w:rsidRDefault="00AF0F64" w:rsidP="00AF0F64">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部或本部所屬機關（構）核定補（捐）助申請案，應以活動執行當年度可運用之預算額度為考量，若因當年度預算被刪除等不可歸責本部或本部所屬機關（構）之因素，本部或本部所屬機關（構）得調整補助金額或為其他處置，</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（捐）助者不得異議，且不得對本部或本部所屬機關（構）提出損害賠償、損失補償或其他任何請求。</w:t>
      </w:r>
    </w:p>
    <w:p w:rsidR="00AF0F64" w:rsidRPr="00737278" w:rsidRDefault="00AF0F64" w:rsidP="00AF0F64">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應依核定之活動企畫案內容確實執行。企畫案內容有變更之必要或因故無法履行，應事前以書面通知本部或本部所屬機關（構）同意後，始得繼續執行。違反者，本部或本部所屬機關（構）得按補（捐）助比率降低或廢止原同意補（捐）助之款項；補（捐）</w:t>
      </w:r>
      <w:proofErr w:type="gramStart"/>
      <w:r w:rsidRPr="00737278">
        <w:rPr>
          <w:rFonts w:ascii="標楷體" w:eastAsia="標楷體" w:hAnsi="標楷體" w:cs="新細明體" w:hint="eastAsia"/>
          <w:color w:val="000000"/>
          <w:kern w:val="0"/>
          <w:sz w:val="28"/>
          <w:szCs w:val="28"/>
        </w:rPr>
        <w:t>助款應</w:t>
      </w:r>
      <w:proofErr w:type="gramEnd"/>
      <w:r w:rsidRPr="00737278">
        <w:rPr>
          <w:rFonts w:ascii="標楷體" w:eastAsia="標楷體" w:hAnsi="標楷體" w:cs="新細明體" w:hint="eastAsia"/>
          <w:color w:val="000000"/>
          <w:kern w:val="0"/>
          <w:sz w:val="28"/>
          <w:szCs w:val="28"/>
        </w:rPr>
        <w:t>專款專用，不得任意變更用途。</w:t>
      </w:r>
    </w:p>
    <w:p w:rsidR="00AF0F64" w:rsidRPr="00AF0F64" w:rsidRDefault="00AF0F64" w:rsidP="00AF0F64">
      <w:pPr>
        <w:shd w:val="clear" w:color="auto" w:fill="FFFFFF"/>
        <w:spacing w:line="440" w:lineRule="exact"/>
        <w:rPr>
          <w:rFonts w:ascii="標楷體" w:eastAsia="標楷體" w:hAnsi="標楷體" w:cs="新細明體" w:hint="eastAsia"/>
          <w:color w:val="000000"/>
          <w:kern w:val="0"/>
          <w:sz w:val="28"/>
          <w:szCs w:val="28"/>
        </w:rPr>
      </w:pPr>
    </w:p>
    <w:p w:rsid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助款如</w:t>
      </w:r>
      <w:proofErr w:type="gramEnd"/>
      <w:r w:rsidRPr="00737278">
        <w:rPr>
          <w:rFonts w:ascii="標楷體" w:eastAsia="標楷體" w:hAnsi="標楷體" w:cs="新細明體" w:hint="eastAsia"/>
          <w:color w:val="000000"/>
          <w:kern w:val="0"/>
          <w:sz w:val="28"/>
          <w:szCs w:val="28"/>
        </w:rPr>
        <w:t>達政府採購法第四條規定之數額及比率時，</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（捐）助者於</w:t>
      </w:r>
      <w:proofErr w:type="gramStart"/>
      <w:r w:rsidRPr="00737278">
        <w:rPr>
          <w:rFonts w:ascii="標楷體" w:eastAsia="標楷體" w:hAnsi="標楷體" w:cs="新細明體" w:hint="eastAsia"/>
          <w:color w:val="000000"/>
          <w:kern w:val="0"/>
          <w:sz w:val="28"/>
          <w:szCs w:val="28"/>
        </w:rPr>
        <w:t>運用受補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助款辦理</w:t>
      </w:r>
      <w:proofErr w:type="gramEnd"/>
      <w:r w:rsidRPr="00737278">
        <w:rPr>
          <w:rFonts w:ascii="標楷體" w:eastAsia="標楷體" w:hAnsi="標楷體" w:cs="新細明體" w:hint="eastAsia"/>
          <w:color w:val="000000"/>
          <w:kern w:val="0"/>
          <w:sz w:val="28"/>
          <w:szCs w:val="28"/>
        </w:rPr>
        <w:t>採購，應依政府採購法及其子法等相關規定辦理。</w:t>
      </w:r>
    </w:p>
    <w:p w:rsidR="00AF0F64" w:rsidRDefault="00AF0F64" w:rsidP="00AF0F64">
      <w:pPr>
        <w:shd w:val="clear" w:color="auto" w:fill="FFFFFF"/>
        <w:spacing w:line="440" w:lineRule="exact"/>
        <w:rPr>
          <w:rFonts w:ascii="標楷體" w:eastAsia="標楷體" w:hAnsi="標楷體" w:cs="新細明體" w:hint="eastAsia"/>
          <w:color w:val="000000"/>
          <w:kern w:val="0"/>
          <w:sz w:val="28"/>
          <w:szCs w:val="28"/>
        </w:rPr>
      </w:pPr>
    </w:p>
    <w:p w:rsidR="00A6690D" w:rsidRDefault="00A6690D" w:rsidP="00AF0F64">
      <w:pPr>
        <w:shd w:val="clear" w:color="auto" w:fill="FFFFFF"/>
        <w:spacing w:line="440" w:lineRule="exact"/>
        <w:rPr>
          <w:rFonts w:ascii="標楷體" w:eastAsia="標楷體" w:hAnsi="標楷體" w:cs="新細明體" w:hint="eastAsia"/>
          <w:color w:val="000000"/>
          <w:kern w:val="0"/>
          <w:sz w:val="28"/>
          <w:szCs w:val="28"/>
        </w:rPr>
      </w:pPr>
    </w:p>
    <w:p w:rsidR="00A6690D" w:rsidRPr="00AF0F64" w:rsidRDefault="00A6690D" w:rsidP="00AF0F64">
      <w:pPr>
        <w:shd w:val="clear" w:color="auto" w:fill="FFFFFF"/>
        <w:spacing w:line="440" w:lineRule="exact"/>
        <w:rPr>
          <w:rFonts w:ascii="標楷體" w:eastAsia="標楷體" w:hAnsi="標楷體" w:cs="新細明體" w:hint="eastAsia"/>
          <w:color w:val="000000"/>
          <w:kern w:val="0"/>
          <w:sz w:val="28"/>
          <w:szCs w:val="28"/>
        </w:rPr>
      </w:pPr>
      <w:bookmarkStart w:id="0" w:name="_GoBack"/>
      <w:bookmarkEnd w:id="0"/>
    </w:p>
    <w:p w:rsidR="00737278" w:rsidRP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lastRenderedPageBreak/>
        <w:t>撥款及核銷：</w:t>
      </w:r>
    </w:p>
    <w:p w:rsidR="00737278" w:rsidRPr="00737278" w:rsidRDefault="00737278" w:rsidP="00737278">
      <w:pPr>
        <w:pStyle w:val="a4"/>
        <w:numPr>
          <w:ilvl w:val="0"/>
          <w:numId w:val="4"/>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本部或本部所屬機關（構）</w:t>
      </w:r>
      <w:proofErr w:type="gramStart"/>
      <w:r w:rsidRPr="00737278">
        <w:rPr>
          <w:rFonts w:ascii="標楷體" w:eastAsia="標楷體" w:hAnsi="標楷體" w:cs="新細明體" w:hint="eastAsia"/>
          <w:color w:val="000000"/>
          <w:kern w:val="0"/>
          <w:sz w:val="28"/>
          <w:szCs w:val="28"/>
        </w:rPr>
        <w:t>辦理受補</w:t>
      </w:r>
      <w:proofErr w:type="gramEnd"/>
      <w:r w:rsidRPr="00737278">
        <w:rPr>
          <w:rFonts w:ascii="標楷體" w:eastAsia="標楷體" w:hAnsi="標楷體" w:cs="新細明體" w:hint="eastAsia"/>
          <w:color w:val="000000"/>
          <w:kern w:val="0"/>
          <w:sz w:val="28"/>
          <w:szCs w:val="28"/>
        </w:rPr>
        <w:t>（捐）助案件撥款，原則上</w:t>
      </w:r>
      <w:proofErr w:type="gramStart"/>
      <w:r w:rsidRPr="00737278">
        <w:rPr>
          <w:rFonts w:ascii="標楷體" w:eastAsia="標楷體" w:hAnsi="標楷體" w:cs="新細明體" w:hint="eastAsia"/>
          <w:color w:val="000000"/>
          <w:kern w:val="0"/>
          <w:sz w:val="28"/>
          <w:szCs w:val="28"/>
        </w:rPr>
        <w:t>採</w:t>
      </w:r>
      <w:proofErr w:type="gramEnd"/>
      <w:r w:rsidRPr="00737278">
        <w:rPr>
          <w:rFonts w:ascii="標楷體" w:eastAsia="標楷體" w:hAnsi="標楷體" w:cs="新細明體" w:hint="eastAsia"/>
          <w:color w:val="000000"/>
          <w:kern w:val="0"/>
          <w:sz w:val="28"/>
          <w:szCs w:val="28"/>
        </w:rPr>
        <w:t>活動結束後一次撥款方式辦理。但因案件性質特殊，且核定之補（捐）</w:t>
      </w:r>
      <w:proofErr w:type="gramStart"/>
      <w:r w:rsidRPr="00737278">
        <w:rPr>
          <w:rFonts w:ascii="標楷體" w:eastAsia="標楷體" w:hAnsi="標楷體" w:cs="新細明體" w:hint="eastAsia"/>
          <w:color w:val="000000"/>
          <w:kern w:val="0"/>
          <w:sz w:val="28"/>
          <w:szCs w:val="28"/>
        </w:rPr>
        <w:t>助款逾新</w:t>
      </w:r>
      <w:proofErr w:type="gramEnd"/>
      <w:r w:rsidRPr="00737278">
        <w:rPr>
          <w:rFonts w:ascii="標楷體" w:eastAsia="標楷體" w:hAnsi="標楷體" w:cs="新細明體" w:hint="eastAsia"/>
          <w:color w:val="000000"/>
          <w:kern w:val="0"/>
          <w:sz w:val="28"/>
          <w:szCs w:val="28"/>
        </w:rPr>
        <w:t>臺幣五十萬元以上者，得</w:t>
      </w:r>
      <w:proofErr w:type="gramStart"/>
      <w:r w:rsidRPr="00737278">
        <w:rPr>
          <w:rFonts w:ascii="標楷體" w:eastAsia="標楷體" w:hAnsi="標楷體" w:cs="新細明體" w:hint="eastAsia"/>
          <w:color w:val="000000"/>
          <w:kern w:val="0"/>
          <w:sz w:val="28"/>
          <w:szCs w:val="28"/>
        </w:rPr>
        <w:t>採</w:t>
      </w:r>
      <w:proofErr w:type="gramEnd"/>
      <w:r w:rsidRPr="00737278">
        <w:rPr>
          <w:rFonts w:ascii="標楷體" w:eastAsia="標楷體" w:hAnsi="標楷體" w:cs="新細明體" w:hint="eastAsia"/>
          <w:color w:val="000000"/>
          <w:kern w:val="0"/>
          <w:sz w:val="28"/>
          <w:szCs w:val="28"/>
        </w:rPr>
        <w:t>分期撥款或簽訂書面契約方式辦理；</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（捐）助者報支款項時，應依本部「經費結報注意事項」（參附件）規定辦理。</w:t>
      </w:r>
    </w:p>
    <w:p w:rsidR="00737278" w:rsidRPr="00737278" w:rsidRDefault="00737278" w:rsidP="00737278">
      <w:pPr>
        <w:pStyle w:val="a4"/>
        <w:numPr>
          <w:ilvl w:val="0"/>
          <w:numId w:val="4"/>
        </w:numPr>
        <w:shd w:val="clear" w:color="auto" w:fill="FFFFFF"/>
        <w:spacing w:line="440" w:lineRule="exact"/>
        <w:ind w:leftChars="0" w:left="1418" w:hanging="698"/>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（捐）助者應於活動結束後一個月內或同意補助函所載期限內，備具成果報告（格式如附件）、收支明細表、原始支出憑證及本部或本部所屬機關（構）抬頭之領據，申請撥補（捐）</w:t>
      </w:r>
      <w:proofErr w:type="gramStart"/>
      <w:r w:rsidRPr="00737278">
        <w:rPr>
          <w:rFonts w:ascii="標楷體" w:eastAsia="標楷體" w:hAnsi="標楷體" w:cs="新細明體" w:hint="eastAsia"/>
          <w:color w:val="000000"/>
          <w:kern w:val="0"/>
          <w:sz w:val="28"/>
          <w:szCs w:val="28"/>
        </w:rPr>
        <w:t>助款</w:t>
      </w:r>
      <w:proofErr w:type="gramEnd"/>
      <w:r w:rsidRPr="00737278">
        <w:rPr>
          <w:rFonts w:ascii="標楷體" w:eastAsia="標楷體" w:hAnsi="標楷體" w:cs="新細明體" w:hint="eastAsia"/>
          <w:color w:val="000000"/>
          <w:kern w:val="0"/>
          <w:sz w:val="28"/>
          <w:szCs w:val="28"/>
        </w:rPr>
        <w:t>。</w:t>
      </w:r>
    </w:p>
    <w:p w:rsidR="00737278" w:rsidRDefault="00737278" w:rsidP="00B21736">
      <w:pPr>
        <w:pStyle w:val="a4"/>
        <w:shd w:val="clear" w:color="auto" w:fill="FFFFFF"/>
        <w:spacing w:line="440" w:lineRule="exact"/>
        <w:ind w:leftChars="0" w:left="72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前項所稱收支明細表應列明收入金額、自籌款及各機關實際補（捐）助金額，並詳列實際支出項目、金額及全部實支經費總額。</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w:t>
      </w:r>
      <w:proofErr w:type="gramStart"/>
      <w:r w:rsidRPr="00737278">
        <w:rPr>
          <w:rFonts w:ascii="標楷體" w:eastAsia="標楷體" w:hAnsi="標楷體" w:cs="新細明體" w:hint="eastAsia"/>
          <w:color w:val="000000"/>
          <w:kern w:val="0"/>
          <w:sz w:val="28"/>
          <w:szCs w:val="28"/>
        </w:rPr>
        <w:t>運用受補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助款產生</w:t>
      </w:r>
      <w:proofErr w:type="gramEnd"/>
      <w:r w:rsidRPr="00737278">
        <w:rPr>
          <w:rFonts w:ascii="標楷體" w:eastAsia="標楷體" w:hAnsi="標楷體" w:cs="新細明體" w:hint="eastAsia"/>
          <w:color w:val="000000"/>
          <w:kern w:val="0"/>
          <w:sz w:val="28"/>
          <w:szCs w:val="28"/>
        </w:rPr>
        <w:t>之利息或其他衍生收入，</w:t>
      </w:r>
      <w:proofErr w:type="gramStart"/>
      <w:r w:rsidRPr="00737278">
        <w:rPr>
          <w:rFonts w:ascii="標楷體" w:eastAsia="標楷體" w:hAnsi="標楷體" w:cs="新細明體" w:hint="eastAsia"/>
          <w:color w:val="000000"/>
          <w:kern w:val="0"/>
          <w:sz w:val="28"/>
          <w:szCs w:val="28"/>
        </w:rPr>
        <w:t>均應列入</w:t>
      </w:r>
      <w:proofErr w:type="gramEnd"/>
      <w:r w:rsidRPr="00737278">
        <w:rPr>
          <w:rFonts w:ascii="標楷體" w:eastAsia="標楷體" w:hAnsi="標楷體" w:cs="新細明體" w:hint="eastAsia"/>
          <w:color w:val="000000"/>
          <w:kern w:val="0"/>
          <w:sz w:val="28"/>
          <w:szCs w:val="28"/>
        </w:rPr>
        <w:t>補（捐）案之收入結報。</w:t>
      </w:r>
    </w:p>
    <w:p w:rsidR="00737278" w:rsidRDefault="00737278" w:rsidP="00B21736">
      <w:pPr>
        <w:pStyle w:val="a4"/>
        <w:shd w:val="clear" w:color="auto" w:fill="FFFFFF"/>
        <w:spacing w:line="440" w:lineRule="exact"/>
        <w:ind w:leftChars="0" w:left="720"/>
        <w:rPr>
          <w:rFonts w:ascii="標楷體" w:eastAsia="標楷體" w:hAnsi="標楷體" w:hint="eastAsia"/>
          <w:sz w:val="28"/>
          <w:szCs w:val="28"/>
        </w:rPr>
      </w:pPr>
      <w:r w:rsidRPr="00737278">
        <w:rPr>
          <w:rFonts w:ascii="標楷體" w:eastAsia="標楷體" w:hAnsi="標楷體" w:hint="eastAsia"/>
          <w:sz w:val="28"/>
          <w:szCs w:val="28"/>
        </w:rPr>
        <w:t>附件-成果報告書</w:t>
      </w:r>
    </w:p>
    <w:p w:rsidR="00AF0F64" w:rsidRPr="00737278" w:rsidRDefault="00AF0F64" w:rsidP="00B21736">
      <w:pPr>
        <w:pStyle w:val="a4"/>
        <w:shd w:val="clear" w:color="auto" w:fill="FFFFFF"/>
        <w:spacing w:line="440" w:lineRule="exact"/>
        <w:ind w:leftChars="0" w:left="720"/>
        <w:rPr>
          <w:rFonts w:ascii="標楷體" w:eastAsia="標楷體" w:hAnsi="標楷體" w:cs="新細明體" w:hint="eastAsia"/>
          <w:color w:val="000000"/>
          <w:kern w:val="0"/>
          <w:sz w:val="28"/>
          <w:szCs w:val="28"/>
        </w:rPr>
      </w:pPr>
    </w:p>
    <w:p w:rsidR="00737278" w:rsidRPr="00737278" w:rsidRDefault="00737278" w:rsidP="00737278">
      <w:pPr>
        <w:pStyle w:val="a4"/>
        <w:numPr>
          <w:ilvl w:val="0"/>
          <w:numId w:val="1"/>
        </w:numPr>
        <w:shd w:val="clear" w:color="auto" w:fill="FFFFFF"/>
        <w:spacing w:line="440" w:lineRule="exact"/>
        <w:ind w:leftChars="0"/>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注意事項：</w:t>
      </w:r>
    </w:p>
    <w:p w:rsidR="00737278" w:rsidRPr="00737278" w:rsidRDefault="00737278" w:rsidP="00737278">
      <w:pPr>
        <w:pStyle w:val="a4"/>
        <w:numPr>
          <w:ilvl w:val="0"/>
          <w:numId w:val="5"/>
        </w:numPr>
        <w:shd w:val="clear" w:color="auto" w:fill="FFFFFF"/>
        <w:spacing w:line="440" w:lineRule="exact"/>
        <w:ind w:leftChars="0" w:left="1418" w:hanging="698"/>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基於政府資源避免重複補助原則，同一申請</w:t>
      </w:r>
      <w:proofErr w:type="gramStart"/>
      <w:r w:rsidRPr="00737278">
        <w:rPr>
          <w:rFonts w:ascii="標楷體" w:eastAsia="標楷體" w:hAnsi="標楷體" w:cs="新細明體" w:hint="eastAsia"/>
          <w:color w:val="000000"/>
          <w:kern w:val="0"/>
          <w:sz w:val="28"/>
          <w:szCs w:val="28"/>
        </w:rPr>
        <w:t>案倘已</w:t>
      </w:r>
      <w:proofErr w:type="gramEnd"/>
      <w:r w:rsidRPr="00737278">
        <w:rPr>
          <w:rFonts w:ascii="標楷體" w:eastAsia="標楷體" w:hAnsi="標楷體" w:cs="新細明體" w:hint="eastAsia"/>
          <w:color w:val="000000"/>
          <w:kern w:val="0"/>
          <w:sz w:val="28"/>
          <w:szCs w:val="28"/>
        </w:rPr>
        <w:t>獲本部或政府捐助成立之財團法人經費補助者，本部或本部所屬機關（構）得不再補助。</w:t>
      </w:r>
    </w:p>
    <w:p w:rsidR="00737278" w:rsidRPr="00737278" w:rsidRDefault="00737278" w:rsidP="00737278">
      <w:pPr>
        <w:pStyle w:val="a4"/>
        <w:numPr>
          <w:ilvl w:val="0"/>
          <w:numId w:val="5"/>
        </w:numPr>
        <w:shd w:val="clear" w:color="auto" w:fill="FFFFFF"/>
        <w:spacing w:line="440" w:lineRule="exact"/>
        <w:ind w:leftChars="0" w:left="1418" w:hanging="698"/>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（捐）助者如有以虛偽不實之文件、資料或對重要事項隱匿不</w:t>
      </w:r>
      <w:proofErr w:type="gramStart"/>
      <w:r w:rsidRPr="00737278">
        <w:rPr>
          <w:rFonts w:ascii="標楷體" w:eastAsia="標楷體" w:hAnsi="標楷體" w:cs="新細明體" w:hint="eastAsia"/>
          <w:color w:val="000000"/>
          <w:kern w:val="0"/>
          <w:sz w:val="28"/>
          <w:szCs w:val="28"/>
        </w:rPr>
        <w:t>實獲補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助款資格</w:t>
      </w:r>
      <w:proofErr w:type="gramEnd"/>
      <w:r w:rsidRPr="00737278">
        <w:rPr>
          <w:rFonts w:ascii="標楷體" w:eastAsia="標楷體" w:hAnsi="標楷體" w:cs="新細明體" w:hint="eastAsia"/>
          <w:color w:val="000000"/>
          <w:kern w:val="0"/>
          <w:sz w:val="28"/>
          <w:szCs w:val="28"/>
        </w:rPr>
        <w:t>者，本部或本部所屬機關（構）應撤銷該補（捐）助案件</w:t>
      </w:r>
      <w:proofErr w:type="gramStart"/>
      <w:r w:rsidRPr="00737278">
        <w:rPr>
          <w:rFonts w:ascii="標楷體" w:eastAsia="標楷體" w:hAnsi="標楷體" w:cs="新細明體" w:hint="eastAsia"/>
          <w:color w:val="000000"/>
          <w:kern w:val="0"/>
          <w:sz w:val="28"/>
          <w:szCs w:val="28"/>
        </w:rPr>
        <w:t>及受補</w:t>
      </w:r>
      <w:proofErr w:type="gramEnd"/>
      <w:r w:rsidRPr="00737278">
        <w:rPr>
          <w:rFonts w:ascii="標楷體" w:eastAsia="標楷體" w:hAnsi="標楷體" w:cs="新細明體" w:hint="eastAsia"/>
          <w:color w:val="000000"/>
          <w:kern w:val="0"/>
          <w:sz w:val="28"/>
          <w:szCs w:val="28"/>
        </w:rPr>
        <w:t>（捐）助者之補（捐）</w:t>
      </w:r>
      <w:proofErr w:type="gramStart"/>
      <w:r w:rsidRPr="00737278">
        <w:rPr>
          <w:rFonts w:ascii="標楷體" w:eastAsia="標楷體" w:hAnsi="標楷體" w:cs="新細明體" w:hint="eastAsia"/>
          <w:color w:val="000000"/>
          <w:kern w:val="0"/>
          <w:sz w:val="28"/>
          <w:szCs w:val="28"/>
        </w:rPr>
        <w:t>助款受</w:t>
      </w:r>
      <w:proofErr w:type="gramEnd"/>
      <w:r w:rsidRPr="00737278">
        <w:rPr>
          <w:rFonts w:ascii="標楷體" w:eastAsia="標楷體" w:hAnsi="標楷體" w:cs="新細明體" w:hint="eastAsia"/>
          <w:color w:val="000000"/>
          <w:kern w:val="0"/>
          <w:sz w:val="28"/>
          <w:szCs w:val="28"/>
        </w:rPr>
        <w:t>領資格，其已領取補（捐）</w:t>
      </w:r>
      <w:proofErr w:type="gramStart"/>
      <w:r w:rsidRPr="00737278">
        <w:rPr>
          <w:rFonts w:ascii="標楷體" w:eastAsia="標楷體" w:hAnsi="標楷體" w:cs="新細明體" w:hint="eastAsia"/>
          <w:color w:val="000000"/>
          <w:kern w:val="0"/>
          <w:sz w:val="28"/>
          <w:szCs w:val="28"/>
        </w:rPr>
        <w:t>助款者</w:t>
      </w:r>
      <w:proofErr w:type="gramEnd"/>
      <w:r w:rsidRPr="00737278">
        <w:rPr>
          <w:rFonts w:ascii="標楷體" w:eastAsia="標楷體" w:hAnsi="標楷體" w:cs="新細明體" w:hint="eastAsia"/>
          <w:color w:val="000000"/>
          <w:kern w:val="0"/>
          <w:sz w:val="28"/>
          <w:szCs w:val="28"/>
        </w:rPr>
        <w:t>，</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（捐）助者應於本部或本部所屬機關（構）指定期限內將補（捐）助款項繳回。</w:t>
      </w:r>
    </w:p>
    <w:p w:rsidR="00737278" w:rsidRPr="00737278" w:rsidRDefault="00737278" w:rsidP="00737278">
      <w:pPr>
        <w:pStyle w:val="a4"/>
        <w:numPr>
          <w:ilvl w:val="0"/>
          <w:numId w:val="5"/>
        </w:numPr>
        <w:shd w:val="clear" w:color="auto" w:fill="FFFFFF"/>
        <w:spacing w:line="440" w:lineRule="exact"/>
        <w:ind w:leftChars="0" w:left="1418" w:hanging="698"/>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（捐）助者執行活動企畫案，如有結餘款，應將</w:t>
      </w:r>
      <w:proofErr w:type="gramStart"/>
      <w:r w:rsidRPr="00737278">
        <w:rPr>
          <w:rFonts w:ascii="標楷體" w:eastAsia="標楷體" w:hAnsi="標楷體" w:cs="新細明體" w:hint="eastAsia"/>
          <w:color w:val="000000"/>
          <w:kern w:val="0"/>
          <w:sz w:val="28"/>
          <w:szCs w:val="28"/>
        </w:rPr>
        <w:t>結餘款按補</w:t>
      </w:r>
      <w:proofErr w:type="gramEnd"/>
      <w:r w:rsidRPr="00737278">
        <w:rPr>
          <w:rFonts w:ascii="標楷體" w:eastAsia="標楷體" w:hAnsi="標楷體" w:cs="新細明體" w:hint="eastAsia"/>
          <w:color w:val="000000"/>
          <w:kern w:val="0"/>
          <w:sz w:val="28"/>
          <w:szCs w:val="28"/>
        </w:rPr>
        <w:t>（捐）助比率繳回本部或本部所屬機關（構）；</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（捐）助活動之實際支出總金額</w:t>
      </w:r>
      <w:proofErr w:type="gramStart"/>
      <w:r w:rsidRPr="00737278">
        <w:rPr>
          <w:rFonts w:ascii="標楷體" w:eastAsia="標楷體" w:hAnsi="標楷體" w:cs="新細明體" w:hint="eastAsia"/>
          <w:color w:val="000000"/>
          <w:kern w:val="0"/>
          <w:sz w:val="28"/>
          <w:szCs w:val="28"/>
        </w:rPr>
        <w:t>或本部或本部</w:t>
      </w:r>
      <w:proofErr w:type="gramEnd"/>
      <w:r w:rsidRPr="00737278">
        <w:rPr>
          <w:rFonts w:ascii="標楷體" w:eastAsia="標楷體" w:hAnsi="標楷體" w:cs="新細明體" w:hint="eastAsia"/>
          <w:color w:val="000000"/>
          <w:kern w:val="0"/>
          <w:sz w:val="28"/>
          <w:szCs w:val="28"/>
        </w:rPr>
        <w:t>所屬機關（構）指定補助項目實際支出之金額低於原申請活動企畫案所載預估經費數時，本部或本部所屬機關（構）得按補（捐）助比率重新計算補（捐）助額度或廢止原同意補（捐）助之款項。</w:t>
      </w:r>
    </w:p>
    <w:p w:rsidR="00737278" w:rsidRPr="00737278" w:rsidRDefault="00737278" w:rsidP="00737278">
      <w:pPr>
        <w:pStyle w:val="a4"/>
        <w:numPr>
          <w:ilvl w:val="0"/>
          <w:numId w:val="5"/>
        </w:numPr>
        <w:shd w:val="clear" w:color="auto" w:fill="FFFFFF"/>
        <w:spacing w:line="440" w:lineRule="exact"/>
        <w:ind w:leftChars="0" w:left="1418" w:hanging="698"/>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（捐）助案之相關文宣資料（包括邀請函），應於明顯處載明本部或本部所屬機關（構）為指導贊助單位；相關宣傳、記者會、</w:t>
      </w:r>
      <w:r w:rsidRPr="00737278">
        <w:rPr>
          <w:rFonts w:ascii="標楷體" w:eastAsia="標楷體" w:hAnsi="標楷體" w:cs="新細明體" w:hint="eastAsia"/>
          <w:color w:val="000000"/>
          <w:kern w:val="0"/>
          <w:sz w:val="28"/>
          <w:szCs w:val="28"/>
        </w:rPr>
        <w:lastRenderedPageBreak/>
        <w:t>作品或產品發表會及開閉幕式等重要活動，應於二</w:t>
      </w:r>
      <w:proofErr w:type="gramStart"/>
      <w:r w:rsidRPr="00737278">
        <w:rPr>
          <w:rFonts w:ascii="標楷體" w:eastAsia="標楷體" w:hAnsi="標楷體" w:cs="新細明體" w:hint="eastAsia"/>
          <w:color w:val="000000"/>
          <w:kern w:val="0"/>
          <w:sz w:val="28"/>
          <w:szCs w:val="28"/>
        </w:rPr>
        <w:t>週</w:t>
      </w:r>
      <w:proofErr w:type="gramEnd"/>
      <w:r w:rsidRPr="00737278">
        <w:rPr>
          <w:rFonts w:ascii="標楷體" w:eastAsia="標楷體" w:hAnsi="標楷體" w:cs="新細明體" w:hint="eastAsia"/>
          <w:color w:val="000000"/>
          <w:kern w:val="0"/>
          <w:sz w:val="28"/>
          <w:szCs w:val="28"/>
        </w:rPr>
        <w:t>前通知本部或本部所屬機關（構）</w:t>
      </w:r>
      <w:r w:rsidRPr="00737278">
        <w:rPr>
          <w:rFonts w:ascii="標楷體" w:eastAsia="標楷體" w:hAnsi="標楷體" w:cs="新細明體" w:hint="eastAsia"/>
          <w:color w:val="000000"/>
          <w:kern w:val="0"/>
          <w:sz w:val="28"/>
          <w:szCs w:val="28"/>
        </w:rPr>
        <w:t>。</w:t>
      </w:r>
    </w:p>
    <w:p w:rsidR="00737278" w:rsidRDefault="00737278" w:rsidP="00737278">
      <w:pPr>
        <w:pStyle w:val="a4"/>
        <w:numPr>
          <w:ilvl w:val="0"/>
          <w:numId w:val="5"/>
        </w:numPr>
        <w:shd w:val="clear" w:color="auto" w:fill="FFFFFF"/>
        <w:spacing w:line="440" w:lineRule="exact"/>
        <w:ind w:leftChars="0" w:left="1418" w:hanging="698"/>
        <w:rPr>
          <w:rFonts w:ascii="標楷體" w:eastAsia="標楷體" w:hAnsi="標楷體" w:cs="新細明體" w:hint="eastAsia"/>
          <w:color w:val="000000"/>
          <w:kern w:val="0"/>
          <w:sz w:val="28"/>
          <w:szCs w:val="28"/>
        </w:rPr>
      </w:pP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w:t>
      </w:r>
      <w:proofErr w:type="gramStart"/>
      <w:r w:rsidRPr="00737278">
        <w:rPr>
          <w:rFonts w:ascii="標楷體" w:eastAsia="標楷體" w:hAnsi="標楷體" w:cs="新細明體" w:hint="eastAsia"/>
          <w:color w:val="000000"/>
          <w:kern w:val="0"/>
          <w:sz w:val="28"/>
          <w:szCs w:val="28"/>
        </w:rPr>
        <w:t>依受補</w:t>
      </w:r>
      <w:proofErr w:type="gramEnd"/>
      <w:r w:rsidRPr="00737278">
        <w:rPr>
          <w:rFonts w:ascii="標楷體" w:eastAsia="標楷體" w:hAnsi="標楷體" w:cs="新細明體" w:hint="eastAsia"/>
          <w:color w:val="000000"/>
          <w:kern w:val="0"/>
          <w:sz w:val="28"/>
          <w:szCs w:val="28"/>
        </w:rPr>
        <w:t>（捐）助申請案所完成之各項記錄作品（含文字、照片、影像、紀錄片等）、劇本、文字紀錄、書籍及影音資料等著作，</w:t>
      </w:r>
      <w:proofErr w:type="gramStart"/>
      <w:r w:rsidRPr="00737278">
        <w:rPr>
          <w:rFonts w:ascii="標楷體" w:eastAsia="標楷體" w:hAnsi="標楷體" w:cs="新細明體" w:hint="eastAsia"/>
          <w:color w:val="000000"/>
          <w:kern w:val="0"/>
          <w:sz w:val="28"/>
          <w:szCs w:val="28"/>
        </w:rPr>
        <w:t>受補</w:t>
      </w:r>
      <w:proofErr w:type="gramEnd"/>
      <w:r w:rsidRPr="00737278">
        <w:rPr>
          <w:rFonts w:ascii="標楷體" w:eastAsia="標楷體" w:hAnsi="標楷體" w:cs="新細明體" w:hint="eastAsia"/>
          <w:color w:val="000000"/>
          <w:kern w:val="0"/>
          <w:sz w:val="28"/>
          <w:szCs w:val="28"/>
        </w:rPr>
        <w:t>（捐）助者得授權本部或本部所屬機關（構）或其再授權之人於非營利範圍內，不限時間、地點及方式自由運用於各項政策推廣、書籍出版、媒體宣傳等，以展現政策推行效益。</w:t>
      </w:r>
    </w:p>
    <w:p w:rsidR="00AF0F64" w:rsidRPr="00737278" w:rsidRDefault="00AF0F64" w:rsidP="00AF0F64">
      <w:pPr>
        <w:pStyle w:val="a4"/>
        <w:shd w:val="clear" w:color="auto" w:fill="FFFFFF"/>
        <w:spacing w:line="440" w:lineRule="exact"/>
        <w:ind w:leftChars="0" w:left="1418"/>
        <w:rPr>
          <w:rFonts w:ascii="標楷體" w:eastAsia="標楷體" w:hAnsi="標楷體" w:cs="新細明體" w:hint="eastAsia"/>
          <w:color w:val="000000"/>
          <w:kern w:val="0"/>
          <w:sz w:val="28"/>
          <w:szCs w:val="28"/>
        </w:rPr>
      </w:pPr>
    </w:p>
    <w:p w:rsidR="00737278" w:rsidRDefault="00737278" w:rsidP="004C1705">
      <w:pPr>
        <w:pStyle w:val="a4"/>
        <w:numPr>
          <w:ilvl w:val="0"/>
          <w:numId w:val="1"/>
        </w:numPr>
        <w:shd w:val="clear" w:color="auto" w:fill="FFFFFF"/>
        <w:spacing w:line="440" w:lineRule="exact"/>
        <w:ind w:leftChars="0" w:left="851" w:hanging="851"/>
        <w:rPr>
          <w:rFonts w:ascii="標楷體" w:eastAsia="標楷體" w:hAnsi="標楷體" w:cs="新細明體" w:hint="eastAsia"/>
          <w:color w:val="000000"/>
          <w:kern w:val="0"/>
          <w:sz w:val="28"/>
          <w:szCs w:val="28"/>
        </w:rPr>
      </w:pPr>
      <w:r w:rsidRPr="00737278">
        <w:rPr>
          <w:rFonts w:ascii="標楷體" w:eastAsia="標楷體" w:hAnsi="標楷體" w:cs="新細明體" w:hint="eastAsia"/>
          <w:color w:val="000000"/>
          <w:kern w:val="0"/>
          <w:sz w:val="28"/>
          <w:szCs w:val="28"/>
        </w:rPr>
        <w:t>本部或本部所屬機關（構）應將支付補（捐）助金之資訊，依政府資訊公開法規定，刊載於政府公報或公開於本部或本部所屬機關（構）網站。</w:t>
      </w:r>
    </w:p>
    <w:p w:rsidR="00AF0F64" w:rsidRPr="00737278" w:rsidRDefault="00AF0F64" w:rsidP="00AF0F64">
      <w:pPr>
        <w:pStyle w:val="a4"/>
        <w:shd w:val="clear" w:color="auto" w:fill="FFFFFF"/>
        <w:spacing w:line="440" w:lineRule="exact"/>
        <w:ind w:leftChars="0" w:left="851"/>
        <w:rPr>
          <w:rFonts w:ascii="標楷體" w:eastAsia="標楷體" w:hAnsi="標楷體" w:cs="新細明體" w:hint="eastAsia"/>
          <w:color w:val="000000"/>
          <w:kern w:val="0"/>
          <w:sz w:val="28"/>
          <w:szCs w:val="28"/>
        </w:rPr>
      </w:pPr>
    </w:p>
    <w:p w:rsidR="00DF7675" w:rsidRPr="00C275E0" w:rsidRDefault="00737278" w:rsidP="00C275E0">
      <w:pPr>
        <w:pStyle w:val="a4"/>
        <w:numPr>
          <w:ilvl w:val="0"/>
          <w:numId w:val="1"/>
        </w:numPr>
        <w:shd w:val="clear" w:color="auto" w:fill="FFFFFF"/>
        <w:spacing w:line="440" w:lineRule="exact"/>
        <w:ind w:leftChars="0" w:left="851" w:hanging="851"/>
        <w:rPr>
          <w:rFonts w:ascii="標楷體" w:eastAsia="標楷體" w:hAnsi="標楷體" w:cs="新細明體"/>
          <w:color w:val="000000"/>
          <w:kern w:val="0"/>
          <w:sz w:val="28"/>
          <w:szCs w:val="28"/>
        </w:rPr>
      </w:pPr>
      <w:r w:rsidRPr="00737278">
        <w:rPr>
          <w:rFonts w:ascii="標楷體" w:eastAsia="標楷體" w:hAnsi="標楷體" w:cs="新細明體" w:hint="eastAsia"/>
          <w:color w:val="000000"/>
          <w:kern w:val="0"/>
          <w:sz w:val="28"/>
          <w:szCs w:val="28"/>
        </w:rPr>
        <w:t>督導與考核：本部或本部所屬機關（構）應對所核定補（捐）助案負督導與考核之責，各補（捐）助案執行成效及經費支用之良</w:t>
      </w:r>
      <w:proofErr w:type="gramStart"/>
      <w:r w:rsidRPr="00737278">
        <w:rPr>
          <w:rFonts w:ascii="標楷體" w:eastAsia="標楷體" w:hAnsi="標楷體" w:cs="新細明體" w:hint="eastAsia"/>
          <w:color w:val="000000"/>
          <w:kern w:val="0"/>
          <w:sz w:val="28"/>
          <w:szCs w:val="28"/>
        </w:rPr>
        <w:t>窳</w:t>
      </w:r>
      <w:proofErr w:type="gramEnd"/>
      <w:r w:rsidRPr="00737278">
        <w:rPr>
          <w:rFonts w:ascii="標楷體" w:eastAsia="標楷體" w:hAnsi="標楷體" w:cs="新細明體" w:hint="eastAsia"/>
          <w:color w:val="000000"/>
          <w:kern w:val="0"/>
          <w:sz w:val="28"/>
          <w:szCs w:val="28"/>
        </w:rPr>
        <w:t>，</w:t>
      </w:r>
      <w:proofErr w:type="gramStart"/>
      <w:r w:rsidRPr="00737278">
        <w:rPr>
          <w:rFonts w:ascii="標楷體" w:eastAsia="標楷體" w:hAnsi="標楷體" w:cs="新細明體" w:hint="eastAsia"/>
          <w:color w:val="000000"/>
          <w:kern w:val="0"/>
          <w:sz w:val="28"/>
          <w:szCs w:val="28"/>
        </w:rPr>
        <w:t>均為未來</w:t>
      </w:r>
      <w:proofErr w:type="gramEnd"/>
      <w:r w:rsidRPr="00737278">
        <w:rPr>
          <w:rFonts w:ascii="標楷體" w:eastAsia="標楷體" w:hAnsi="標楷體" w:cs="新細明體" w:hint="eastAsia"/>
          <w:color w:val="000000"/>
          <w:kern w:val="0"/>
          <w:sz w:val="28"/>
          <w:szCs w:val="28"/>
        </w:rPr>
        <w:t>審核同一申請單位申請案之參考依據。如</w:t>
      </w:r>
      <w:proofErr w:type="gramStart"/>
      <w:r w:rsidRPr="00737278">
        <w:rPr>
          <w:rFonts w:ascii="標楷體" w:eastAsia="標楷體" w:hAnsi="標楷體" w:cs="新細明體" w:hint="eastAsia"/>
          <w:color w:val="000000"/>
          <w:kern w:val="0"/>
          <w:sz w:val="28"/>
          <w:szCs w:val="28"/>
        </w:rPr>
        <w:t>發現受補</w:t>
      </w:r>
      <w:proofErr w:type="gramEnd"/>
      <w:r w:rsidRPr="00737278">
        <w:rPr>
          <w:rFonts w:ascii="標楷體" w:eastAsia="標楷體" w:hAnsi="標楷體" w:cs="新細明體" w:hint="eastAsia"/>
          <w:color w:val="000000"/>
          <w:kern w:val="0"/>
          <w:sz w:val="28"/>
          <w:szCs w:val="28"/>
        </w:rPr>
        <w:t>（捐）助</w:t>
      </w:r>
      <w:proofErr w:type="gramStart"/>
      <w:r w:rsidRPr="00737278">
        <w:rPr>
          <w:rFonts w:ascii="標楷體" w:eastAsia="標楷體" w:hAnsi="標楷體" w:cs="新細明體" w:hint="eastAsia"/>
          <w:color w:val="000000"/>
          <w:kern w:val="0"/>
          <w:sz w:val="28"/>
          <w:szCs w:val="28"/>
        </w:rPr>
        <w:t>者對補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助款之</w:t>
      </w:r>
      <w:proofErr w:type="gramEnd"/>
      <w:r w:rsidRPr="00737278">
        <w:rPr>
          <w:rFonts w:ascii="標楷體" w:eastAsia="標楷體" w:hAnsi="標楷體" w:cs="新細明體" w:hint="eastAsia"/>
          <w:color w:val="000000"/>
          <w:kern w:val="0"/>
          <w:sz w:val="28"/>
          <w:szCs w:val="28"/>
        </w:rPr>
        <w:t>運用，有成效不佳、未依補（捐）助用途支用或虛報、浮報等情事，違反本要點或其他法令規定者，本部或本部所屬機關（構）應催告</w:t>
      </w:r>
      <w:proofErr w:type="gramStart"/>
      <w:r w:rsidRPr="00737278">
        <w:rPr>
          <w:rFonts w:ascii="標楷體" w:eastAsia="標楷體" w:hAnsi="標楷體" w:cs="新細明體" w:hint="eastAsia"/>
          <w:color w:val="000000"/>
          <w:kern w:val="0"/>
          <w:sz w:val="28"/>
          <w:szCs w:val="28"/>
        </w:rPr>
        <w:t>該受補</w:t>
      </w:r>
      <w:proofErr w:type="gramEnd"/>
      <w:r w:rsidRPr="00737278">
        <w:rPr>
          <w:rFonts w:ascii="標楷體" w:eastAsia="標楷體" w:hAnsi="標楷體" w:cs="新細明體" w:hint="eastAsia"/>
          <w:color w:val="000000"/>
          <w:kern w:val="0"/>
          <w:sz w:val="28"/>
          <w:szCs w:val="28"/>
        </w:rPr>
        <w:t>（捐）</w:t>
      </w:r>
      <w:proofErr w:type="gramStart"/>
      <w:r w:rsidRPr="00737278">
        <w:rPr>
          <w:rFonts w:ascii="標楷體" w:eastAsia="標楷體" w:hAnsi="標楷體" w:cs="新細明體" w:hint="eastAsia"/>
          <w:color w:val="000000"/>
          <w:kern w:val="0"/>
          <w:sz w:val="28"/>
          <w:szCs w:val="28"/>
        </w:rPr>
        <w:t>助者繳回</w:t>
      </w:r>
      <w:proofErr w:type="gramEnd"/>
      <w:r w:rsidRPr="00737278">
        <w:rPr>
          <w:rFonts w:ascii="標楷體" w:eastAsia="標楷體" w:hAnsi="標楷體" w:cs="新細明體" w:hint="eastAsia"/>
          <w:color w:val="000000"/>
          <w:kern w:val="0"/>
          <w:sz w:val="28"/>
          <w:szCs w:val="28"/>
        </w:rPr>
        <w:t>其受領之補（捐）</w:t>
      </w:r>
      <w:proofErr w:type="gramStart"/>
      <w:r w:rsidRPr="00737278">
        <w:rPr>
          <w:rFonts w:ascii="標楷體" w:eastAsia="標楷體" w:hAnsi="標楷體" w:cs="新細明體" w:hint="eastAsia"/>
          <w:color w:val="000000"/>
          <w:kern w:val="0"/>
          <w:sz w:val="28"/>
          <w:szCs w:val="28"/>
        </w:rPr>
        <w:t>助款</w:t>
      </w:r>
      <w:proofErr w:type="gramEnd"/>
      <w:r w:rsidRPr="00737278">
        <w:rPr>
          <w:rFonts w:ascii="標楷體" w:eastAsia="標楷體" w:hAnsi="標楷體" w:cs="新細明體" w:hint="eastAsia"/>
          <w:color w:val="000000"/>
          <w:kern w:val="0"/>
          <w:sz w:val="28"/>
          <w:szCs w:val="28"/>
        </w:rPr>
        <w:t>，並得依情節輕重對</w:t>
      </w:r>
      <w:proofErr w:type="gramStart"/>
      <w:r w:rsidRPr="00737278">
        <w:rPr>
          <w:rFonts w:ascii="標楷體" w:eastAsia="標楷體" w:hAnsi="標楷體" w:cs="新細明體" w:hint="eastAsia"/>
          <w:color w:val="000000"/>
          <w:kern w:val="0"/>
          <w:sz w:val="28"/>
          <w:szCs w:val="28"/>
        </w:rPr>
        <w:t>該受補</w:t>
      </w:r>
      <w:proofErr w:type="gramEnd"/>
      <w:r w:rsidRPr="00737278">
        <w:rPr>
          <w:rFonts w:ascii="標楷體" w:eastAsia="標楷體" w:hAnsi="標楷體" w:cs="新細明體" w:hint="eastAsia"/>
          <w:color w:val="000000"/>
          <w:kern w:val="0"/>
          <w:sz w:val="28"/>
          <w:szCs w:val="28"/>
        </w:rPr>
        <w:t>（捐）助者停止補（捐）助一年至五年，或移送有關單位追究責任。</w:t>
      </w:r>
    </w:p>
    <w:sectPr w:rsidR="00DF7675" w:rsidRPr="00C275E0" w:rsidSect="0073727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DD" w:rsidRDefault="00DC4BDD" w:rsidP="00A6690D">
      <w:r>
        <w:separator/>
      </w:r>
    </w:p>
  </w:endnote>
  <w:endnote w:type="continuationSeparator" w:id="0">
    <w:p w:rsidR="00DC4BDD" w:rsidRDefault="00DC4BDD" w:rsidP="00A6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04863"/>
      <w:docPartObj>
        <w:docPartGallery w:val="Page Numbers (Bottom of Page)"/>
        <w:docPartUnique/>
      </w:docPartObj>
    </w:sdtPr>
    <w:sdtContent>
      <w:p w:rsidR="00A6690D" w:rsidRDefault="00A6690D">
        <w:pPr>
          <w:pStyle w:val="a7"/>
          <w:jc w:val="right"/>
        </w:pPr>
        <w:r>
          <w:fldChar w:fldCharType="begin"/>
        </w:r>
        <w:r>
          <w:instrText>PAGE   \* MERGEFORMAT</w:instrText>
        </w:r>
        <w:r>
          <w:fldChar w:fldCharType="separate"/>
        </w:r>
        <w:r w:rsidRPr="00A6690D">
          <w:rPr>
            <w:noProof/>
            <w:lang w:val="zh-TW"/>
          </w:rPr>
          <w:t>1</w:t>
        </w:r>
        <w:r>
          <w:fldChar w:fldCharType="end"/>
        </w:r>
      </w:p>
    </w:sdtContent>
  </w:sdt>
  <w:p w:rsidR="00A6690D" w:rsidRDefault="00A669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DD" w:rsidRDefault="00DC4BDD" w:rsidP="00A6690D">
      <w:r>
        <w:separator/>
      </w:r>
    </w:p>
  </w:footnote>
  <w:footnote w:type="continuationSeparator" w:id="0">
    <w:p w:rsidR="00DC4BDD" w:rsidRDefault="00DC4BDD" w:rsidP="00A6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DB5"/>
    <w:multiLevelType w:val="hybridMultilevel"/>
    <w:tmpl w:val="22B4A324"/>
    <w:lvl w:ilvl="0" w:tplc="FEE2D1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77883"/>
    <w:multiLevelType w:val="hybridMultilevel"/>
    <w:tmpl w:val="538EDB72"/>
    <w:lvl w:ilvl="0" w:tplc="307C5370">
      <w:start w:val="1"/>
      <w:numFmt w:val="taiwaneseCountingThousand"/>
      <w:lvlText w:val="(%1)"/>
      <w:lvlJc w:val="left"/>
      <w:pPr>
        <w:ind w:left="1212" w:hanging="4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9E73E46"/>
    <w:multiLevelType w:val="hybridMultilevel"/>
    <w:tmpl w:val="44469DB4"/>
    <w:lvl w:ilvl="0" w:tplc="5A3ABEC0">
      <w:start w:val="1"/>
      <w:numFmt w:val="taiwaneseCountingThousand"/>
      <w:lvlText w:val="(%1)"/>
      <w:lvlJc w:val="left"/>
      <w:pPr>
        <w:ind w:left="1212" w:hanging="4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5E5D6DDD"/>
    <w:multiLevelType w:val="hybridMultilevel"/>
    <w:tmpl w:val="9852ED4C"/>
    <w:lvl w:ilvl="0" w:tplc="469C3B34">
      <w:start w:val="1"/>
      <w:numFmt w:val="taiwaneseCountingThousand"/>
      <w:lvlText w:val="(%1)"/>
      <w:lvlJc w:val="left"/>
      <w:pPr>
        <w:ind w:left="1212" w:hanging="4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628A1D7B"/>
    <w:multiLevelType w:val="hybridMultilevel"/>
    <w:tmpl w:val="1ECCBA50"/>
    <w:lvl w:ilvl="0" w:tplc="CC6CC682">
      <w:start w:val="1"/>
      <w:numFmt w:val="taiwaneseCountingThousand"/>
      <w:lvlText w:val="(%1)"/>
      <w:lvlJc w:val="left"/>
      <w:pPr>
        <w:ind w:left="1212" w:hanging="49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78"/>
    <w:rsid w:val="00447EFB"/>
    <w:rsid w:val="004C1705"/>
    <w:rsid w:val="00737278"/>
    <w:rsid w:val="00A6690D"/>
    <w:rsid w:val="00AF0F64"/>
    <w:rsid w:val="00B21736"/>
    <w:rsid w:val="00C275E0"/>
    <w:rsid w:val="00DC4BDD"/>
    <w:rsid w:val="00DF7675"/>
    <w:rsid w:val="00FB1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278"/>
    <w:rPr>
      <w:b/>
      <w:bCs/>
    </w:rPr>
  </w:style>
  <w:style w:type="paragraph" w:styleId="a4">
    <w:name w:val="List Paragraph"/>
    <w:basedOn w:val="a"/>
    <w:uiPriority w:val="34"/>
    <w:qFormat/>
    <w:rsid w:val="00737278"/>
    <w:pPr>
      <w:ind w:leftChars="200" w:left="480"/>
    </w:pPr>
  </w:style>
  <w:style w:type="paragraph" w:styleId="a5">
    <w:name w:val="header"/>
    <w:basedOn w:val="a"/>
    <w:link w:val="a6"/>
    <w:uiPriority w:val="99"/>
    <w:unhideWhenUsed/>
    <w:rsid w:val="00A6690D"/>
    <w:pPr>
      <w:tabs>
        <w:tab w:val="center" w:pos="4153"/>
        <w:tab w:val="right" w:pos="8306"/>
      </w:tabs>
      <w:snapToGrid w:val="0"/>
    </w:pPr>
    <w:rPr>
      <w:sz w:val="20"/>
      <w:szCs w:val="20"/>
    </w:rPr>
  </w:style>
  <w:style w:type="character" w:customStyle="1" w:styleId="a6">
    <w:name w:val="頁首 字元"/>
    <w:basedOn w:val="a0"/>
    <w:link w:val="a5"/>
    <w:uiPriority w:val="99"/>
    <w:rsid w:val="00A6690D"/>
    <w:rPr>
      <w:sz w:val="20"/>
      <w:szCs w:val="20"/>
    </w:rPr>
  </w:style>
  <w:style w:type="paragraph" w:styleId="a7">
    <w:name w:val="footer"/>
    <w:basedOn w:val="a"/>
    <w:link w:val="a8"/>
    <w:uiPriority w:val="99"/>
    <w:unhideWhenUsed/>
    <w:rsid w:val="00A6690D"/>
    <w:pPr>
      <w:tabs>
        <w:tab w:val="center" w:pos="4153"/>
        <w:tab w:val="right" w:pos="8306"/>
      </w:tabs>
      <w:snapToGrid w:val="0"/>
    </w:pPr>
    <w:rPr>
      <w:sz w:val="20"/>
      <w:szCs w:val="20"/>
    </w:rPr>
  </w:style>
  <w:style w:type="character" w:customStyle="1" w:styleId="a8">
    <w:name w:val="頁尾 字元"/>
    <w:basedOn w:val="a0"/>
    <w:link w:val="a7"/>
    <w:uiPriority w:val="99"/>
    <w:rsid w:val="00A669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278"/>
    <w:rPr>
      <w:b/>
      <w:bCs/>
    </w:rPr>
  </w:style>
  <w:style w:type="paragraph" w:styleId="a4">
    <w:name w:val="List Paragraph"/>
    <w:basedOn w:val="a"/>
    <w:uiPriority w:val="34"/>
    <w:qFormat/>
    <w:rsid w:val="00737278"/>
    <w:pPr>
      <w:ind w:leftChars="200" w:left="480"/>
    </w:pPr>
  </w:style>
  <w:style w:type="paragraph" w:styleId="a5">
    <w:name w:val="header"/>
    <w:basedOn w:val="a"/>
    <w:link w:val="a6"/>
    <w:uiPriority w:val="99"/>
    <w:unhideWhenUsed/>
    <w:rsid w:val="00A6690D"/>
    <w:pPr>
      <w:tabs>
        <w:tab w:val="center" w:pos="4153"/>
        <w:tab w:val="right" w:pos="8306"/>
      </w:tabs>
      <w:snapToGrid w:val="0"/>
    </w:pPr>
    <w:rPr>
      <w:sz w:val="20"/>
      <w:szCs w:val="20"/>
    </w:rPr>
  </w:style>
  <w:style w:type="character" w:customStyle="1" w:styleId="a6">
    <w:name w:val="頁首 字元"/>
    <w:basedOn w:val="a0"/>
    <w:link w:val="a5"/>
    <w:uiPriority w:val="99"/>
    <w:rsid w:val="00A6690D"/>
    <w:rPr>
      <w:sz w:val="20"/>
      <w:szCs w:val="20"/>
    </w:rPr>
  </w:style>
  <w:style w:type="paragraph" w:styleId="a7">
    <w:name w:val="footer"/>
    <w:basedOn w:val="a"/>
    <w:link w:val="a8"/>
    <w:uiPriority w:val="99"/>
    <w:unhideWhenUsed/>
    <w:rsid w:val="00A6690D"/>
    <w:pPr>
      <w:tabs>
        <w:tab w:val="center" w:pos="4153"/>
        <w:tab w:val="right" w:pos="8306"/>
      </w:tabs>
      <w:snapToGrid w:val="0"/>
    </w:pPr>
    <w:rPr>
      <w:sz w:val="20"/>
      <w:szCs w:val="20"/>
    </w:rPr>
  </w:style>
  <w:style w:type="character" w:customStyle="1" w:styleId="a8">
    <w:name w:val="頁尾 字元"/>
    <w:basedOn w:val="a0"/>
    <w:link w:val="a7"/>
    <w:uiPriority w:val="99"/>
    <w:rsid w:val="00A669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陳佳琪</dc:creator>
  <cp:lastModifiedBy>陳佳琪</cp:lastModifiedBy>
  <cp:revision>8</cp:revision>
  <dcterms:created xsi:type="dcterms:W3CDTF">2015-03-23T03:29:00Z</dcterms:created>
  <dcterms:modified xsi:type="dcterms:W3CDTF">2015-03-23T03:49:00Z</dcterms:modified>
</cp:coreProperties>
</file>